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topLinePunct/>
        <w:spacing w:line="3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topLinePunct/>
        <w:jc w:val="center"/>
        <w:rPr>
          <w:rFonts w:ascii="方正小标宋简体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12"/>
          <w:sz w:val="44"/>
          <w:szCs w:val="44"/>
        </w:rPr>
        <w:t>2022年科技活动周暨科普宣传周开展情况统计表</w:t>
      </w:r>
    </w:p>
    <w:p>
      <w:pPr>
        <w:adjustRightInd w:val="0"/>
        <w:spacing w:line="3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adjustRightInd w:val="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单位（盖章）：</w:t>
      </w:r>
      <w:bookmarkStart w:id="0" w:name="_GoBack"/>
      <w:bookmarkEnd w:id="0"/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35"/>
        <w:gridCol w:w="3562"/>
        <w:gridCol w:w="30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科普活动开展次数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举办活动次数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承接科技部活动任务个数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活动经费投入数量（单位：万元）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中央财政经费投入情况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省级、副省级财政经费投入情况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市级财政经费投入情况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县级财政经费投入情况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企业赞助经费情况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实物投入情况（如：捐赠图书、光盘、创新操作室等）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其他经费情况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科普工作人员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参与数量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科普专职人员数量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科技工作者参与数量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招募科技志愿者数量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其他人员数量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科普活动群众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参与数量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线下活动群众参与数量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线上活动群众参与数量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宣传报道情况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参与媒体数量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40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宣传报道数量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活动周期间开放的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科普场馆数量</w:t>
            </w:r>
          </w:p>
        </w:tc>
        <w:tc>
          <w:tcPr>
            <w:tcW w:w="6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活动周期间开放活动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的科研机构数量</w:t>
            </w:r>
          </w:p>
        </w:tc>
        <w:tc>
          <w:tcPr>
            <w:tcW w:w="6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活动周期间开放活动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的大学数量</w:t>
            </w:r>
          </w:p>
        </w:tc>
        <w:tc>
          <w:tcPr>
            <w:tcW w:w="6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before="120" w:line="30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注：请按通知要求填写表格于6月2日前报市科协科普部（czkxkepubu@163.om）</w:t>
      </w:r>
    </w:p>
    <w:p/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2022-04-21T06:21:52Z</dcterms:created>
  <dc:creator>26068</dc:creator>
  <cp:lastModifiedBy>以年</cp:lastModifiedBy>
  <dcterms:modified xsi:type="dcterms:W3CDTF">2022-04-21T06:22:34Z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eyJoZGlkIjoiY2VhZDA1ODU0ZDc2NDZiZmZkY2QxNzZiNmRjYzE2NWIifQ==</vt:lpwstr>
  </property>
  <property fmtid="{D5CDD505-2E9C-101B-9397-08002B2CF9AE}" pid="4" name="ICV">
    <vt:lpwstr>21EB89EB86D445BCA1B6B843FB417C03</vt:lpwstr>
  </property>
</Properties>
</file>