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eastAsia="黑体"/>
          <w:sz w:val="32"/>
          <w:szCs w:val="32"/>
        </w:rPr>
      </w:pPr>
      <w:r>
        <w:rPr>
          <w:rFonts w:eastAsia="黑体"/>
          <w:sz w:val="32"/>
          <w:szCs w:val="32"/>
        </w:rPr>
        <w:t>附件2</w:t>
      </w:r>
    </w:p>
    <w:p>
      <w:pPr>
        <w:spacing w:line="400" w:lineRule="exact"/>
        <w:jc w:val="center"/>
        <w:rPr>
          <w:rFonts w:hint="eastAsia" w:ascii="方正小标宋简体" w:eastAsia="方正小标宋简体"/>
          <w:snapToGrid w:val="0"/>
          <w:kern w:val="0"/>
          <w:sz w:val="44"/>
          <w:szCs w:val="44"/>
        </w:rPr>
      </w:pPr>
    </w:p>
    <w:p>
      <w:pPr>
        <w:spacing w:line="570" w:lineRule="exact"/>
        <w:jc w:val="center"/>
        <w:rPr>
          <w:rFonts w:hint="eastAsia" w:ascii="方正小标宋简体" w:eastAsia="方正小标宋简体"/>
          <w:snapToGrid w:val="0"/>
          <w:kern w:val="0"/>
          <w:sz w:val="44"/>
          <w:szCs w:val="44"/>
        </w:rPr>
      </w:pPr>
      <w:r>
        <w:rPr>
          <w:rFonts w:hint="eastAsia" w:ascii="方正小标宋简体" w:eastAsia="方正小标宋简体"/>
          <w:snapToGrid w:val="0"/>
          <w:kern w:val="0"/>
          <w:sz w:val="44"/>
          <w:szCs w:val="44"/>
        </w:rPr>
        <w:t>2022年</w:t>
      </w:r>
      <w:r>
        <w:rPr>
          <w:rFonts w:ascii="方正小标宋简体" w:eastAsia="方正小标宋简体"/>
          <w:snapToGrid w:val="0"/>
          <w:kern w:val="0"/>
          <w:sz w:val="44"/>
          <w:szCs w:val="44"/>
        </w:rPr>
        <w:t>常州市</w:t>
      </w:r>
      <w:r>
        <w:rPr>
          <w:rFonts w:hint="eastAsia" w:ascii="方正小标宋简体" w:eastAsia="方正小标宋简体"/>
          <w:snapToGrid w:val="0"/>
          <w:kern w:val="0"/>
          <w:sz w:val="44"/>
          <w:szCs w:val="44"/>
        </w:rPr>
        <w:t>科学教育综合示范示范学校考评分值表</w:t>
      </w:r>
    </w:p>
    <w:p>
      <w:pPr>
        <w:spacing w:line="400" w:lineRule="exact"/>
        <w:jc w:val="center"/>
        <w:rPr>
          <w:rFonts w:hint="eastAsia" w:ascii="方正小标宋简体" w:eastAsia="方正小标宋简体"/>
          <w:snapToGrid w:val="0"/>
          <w:kern w:val="0"/>
          <w:sz w:val="44"/>
          <w:szCs w:val="44"/>
        </w:rPr>
      </w:pPr>
    </w:p>
    <w:tbl>
      <w:tblPr>
        <w:tblStyle w:val="4"/>
        <w:tblW w:w="1417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40"/>
        <w:gridCol w:w="10102"/>
        <w:gridCol w:w="1216"/>
        <w:gridCol w:w="12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blHeader/>
        </w:trPr>
        <w:tc>
          <w:tcPr>
            <w:tcW w:w="1640" w:type="dxa"/>
            <w:shd w:val="clear" w:color="auto" w:fill="auto"/>
            <w:noWrap/>
            <w:vAlign w:val="center"/>
          </w:tcPr>
          <w:p>
            <w:pPr>
              <w:widowControl/>
              <w:jc w:val="center"/>
              <w:rPr>
                <w:rFonts w:eastAsia="黑体"/>
                <w:bCs/>
                <w:color w:val="000000"/>
                <w:kern w:val="0"/>
                <w:sz w:val="24"/>
              </w:rPr>
            </w:pPr>
            <w:r>
              <w:rPr>
                <w:rFonts w:hAnsi="黑体" w:eastAsia="黑体"/>
                <w:bCs/>
                <w:color w:val="000000"/>
                <w:kern w:val="0"/>
                <w:sz w:val="24"/>
              </w:rPr>
              <w:t>项</w:t>
            </w:r>
            <w:r>
              <w:rPr>
                <w:rFonts w:eastAsia="黑体"/>
                <w:bCs/>
                <w:color w:val="000000"/>
                <w:kern w:val="0"/>
                <w:sz w:val="24"/>
              </w:rPr>
              <w:t xml:space="preserve">  </w:t>
            </w:r>
            <w:r>
              <w:rPr>
                <w:rFonts w:hAnsi="黑体" w:eastAsia="黑体"/>
                <w:bCs/>
                <w:color w:val="000000"/>
                <w:kern w:val="0"/>
                <w:sz w:val="24"/>
              </w:rPr>
              <w:t>目</w:t>
            </w:r>
          </w:p>
        </w:tc>
        <w:tc>
          <w:tcPr>
            <w:tcW w:w="10102" w:type="dxa"/>
            <w:shd w:val="clear" w:color="auto" w:fill="auto"/>
            <w:noWrap/>
            <w:vAlign w:val="center"/>
          </w:tcPr>
          <w:p>
            <w:pPr>
              <w:widowControl/>
              <w:jc w:val="center"/>
              <w:rPr>
                <w:rFonts w:eastAsia="黑体"/>
                <w:bCs/>
                <w:color w:val="000000"/>
                <w:kern w:val="0"/>
                <w:sz w:val="24"/>
              </w:rPr>
            </w:pPr>
            <w:r>
              <w:rPr>
                <w:rFonts w:hAnsi="黑体" w:eastAsia="黑体"/>
                <w:bCs/>
                <w:color w:val="000000"/>
                <w:kern w:val="0"/>
                <w:sz w:val="24"/>
              </w:rPr>
              <w:t>考核标准</w:t>
            </w:r>
          </w:p>
        </w:tc>
        <w:tc>
          <w:tcPr>
            <w:tcW w:w="1216" w:type="dxa"/>
            <w:noWrap w:val="0"/>
            <w:vAlign w:val="center"/>
          </w:tcPr>
          <w:p>
            <w:pPr>
              <w:widowControl/>
              <w:jc w:val="center"/>
              <w:rPr>
                <w:rFonts w:hint="eastAsia" w:ascii="黑体" w:hAnsi="黑体" w:eastAsia="黑体" w:cs="宋体"/>
                <w:bCs/>
                <w:color w:val="000000"/>
                <w:kern w:val="0"/>
                <w:sz w:val="24"/>
              </w:rPr>
            </w:pPr>
            <w:r>
              <w:rPr>
                <w:rFonts w:hint="eastAsia" w:ascii="黑体" w:hAnsi="黑体" w:eastAsia="黑体" w:cs="宋体"/>
                <w:bCs/>
                <w:color w:val="000000"/>
                <w:kern w:val="0"/>
                <w:sz w:val="24"/>
              </w:rPr>
              <w:t>自评分</w:t>
            </w:r>
          </w:p>
        </w:tc>
        <w:tc>
          <w:tcPr>
            <w:tcW w:w="1217" w:type="dxa"/>
            <w:noWrap w:val="0"/>
            <w:vAlign w:val="center"/>
          </w:tcPr>
          <w:p>
            <w:pPr>
              <w:widowControl/>
              <w:jc w:val="center"/>
              <w:rPr>
                <w:rFonts w:hint="eastAsia" w:ascii="黑体" w:hAnsi="黑体" w:eastAsia="黑体" w:cs="宋体"/>
                <w:bCs/>
                <w:color w:val="000000"/>
                <w:kern w:val="0"/>
                <w:sz w:val="24"/>
              </w:rPr>
            </w:pPr>
            <w:r>
              <w:rPr>
                <w:rFonts w:hint="eastAsia" w:ascii="黑体" w:hAnsi="黑体" w:eastAsia="黑体" w:cs="宋体"/>
                <w:bCs/>
                <w:color w:val="000000"/>
                <w:kern w:val="0"/>
                <w:sz w:val="24"/>
              </w:rPr>
              <w:t>考评分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5" w:hRule="atLeast"/>
        </w:trPr>
        <w:tc>
          <w:tcPr>
            <w:tcW w:w="1640" w:type="dxa"/>
            <w:vMerge w:val="restart"/>
            <w:shd w:val="clear" w:color="auto" w:fill="auto"/>
            <w:noWrap w:val="0"/>
            <w:vAlign w:val="center"/>
          </w:tcPr>
          <w:p>
            <w:pPr>
              <w:widowControl/>
              <w:jc w:val="center"/>
              <w:rPr>
                <w:color w:val="000000"/>
                <w:kern w:val="0"/>
                <w:szCs w:val="21"/>
              </w:rPr>
            </w:pPr>
            <w:r>
              <w:rPr>
                <w:rFonts w:hAnsi="宋体"/>
                <w:color w:val="000000"/>
                <w:kern w:val="0"/>
                <w:szCs w:val="21"/>
              </w:rPr>
              <w:t>组织领导</w:t>
            </w:r>
            <w:r>
              <w:rPr>
                <w:color w:val="000000"/>
                <w:kern w:val="0"/>
                <w:szCs w:val="21"/>
              </w:rPr>
              <w:br w:type="textWrapping"/>
            </w:r>
            <w:r>
              <w:rPr>
                <w:color w:val="000000"/>
                <w:kern w:val="0"/>
                <w:szCs w:val="21"/>
              </w:rPr>
              <w:t>15</w:t>
            </w:r>
            <w:r>
              <w:rPr>
                <w:rFonts w:hAnsi="宋体"/>
                <w:color w:val="000000"/>
                <w:kern w:val="0"/>
                <w:szCs w:val="21"/>
              </w:rPr>
              <w:t>分</w:t>
            </w:r>
          </w:p>
        </w:tc>
        <w:tc>
          <w:tcPr>
            <w:tcW w:w="10102" w:type="dxa"/>
            <w:shd w:val="clear" w:color="auto" w:fill="auto"/>
            <w:noWrap w:val="0"/>
            <w:vAlign w:val="center"/>
          </w:tcPr>
          <w:p>
            <w:pPr>
              <w:widowControl/>
              <w:rPr>
                <w:color w:val="000000"/>
                <w:kern w:val="0"/>
                <w:szCs w:val="21"/>
              </w:rPr>
            </w:pPr>
            <w:r>
              <w:rPr>
                <w:rFonts w:hAnsi="宋体"/>
                <w:color w:val="000000"/>
                <w:kern w:val="0"/>
                <w:szCs w:val="21"/>
              </w:rPr>
              <w:t>（</w:t>
            </w:r>
            <w:r>
              <w:rPr>
                <w:color w:val="000000"/>
                <w:kern w:val="0"/>
                <w:szCs w:val="21"/>
              </w:rPr>
              <w:t>1-1</w:t>
            </w:r>
            <w:r>
              <w:rPr>
                <w:rFonts w:hAnsi="宋体"/>
                <w:color w:val="000000"/>
                <w:kern w:val="0"/>
                <w:szCs w:val="21"/>
              </w:rPr>
              <w:t>）有明确的科学教育目标和发展规划，领导对于科学教育的理解符合国家对创新人才培养和青少年科学素质培养的要求，在年度工作计划中有开展科学教育工作的内容并探索新冠疫情防控常态化下科学教育新模式（</w:t>
            </w:r>
            <w:r>
              <w:rPr>
                <w:color w:val="000000"/>
                <w:kern w:val="0"/>
                <w:szCs w:val="21"/>
              </w:rPr>
              <w:t>2</w:t>
            </w:r>
            <w:r>
              <w:rPr>
                <w:rFonts w:hAnsi="宋体"/>
                <w:color w:val="000000"/>
                <w:kern w:val="0"/>
                <w:szCs w:val="21"/>
              </w:rPr>
              <w:t>分）。</w:t>
            </w:r>
          </w:p>
        </w:tc>
        <w:tc>
          <w:tcPr>
            <w:tcW w:w="1216" w:type="dxa"/>
            <w:noWrap w:val="0"/>
            <w:vAlign w:val="center"/>
          </w:tcPr>
          <w:p>
            <w:pPr>
              <w:widowControl/>
              <w:jc w:val="center"/>
              <w:rPr>
                <w:rFonts w:hint="eastAsia" w:ascii="宋体" w:hAnsi="宋体" w:cs="宋体"/>
                <w:color w:val="000000"/>
                <w:kern w:val="0"/>
                <w:szCs w:val="21"/>
              </w:rPr>
            </w:pPr>
          </w:p>
        </w:tc>
        <w:tc>
          <w:tcPr>
            <w:tcW w:w="1217" w:type="dxa"/>
            <w:noWrap w:val="0"/>
            <w:vAlign w:val="center"/>
          </w:tcPr>
          <w:p>
            <w:pPr>
              <w:widowControl/>
              <w:jc w:val="center"/>
              <w:rPr>
                <w:rFonts w:hint="eastAsia" w:ascii="宋体" w:hAnsi="宋体" w:cs="宋体"/>
                <w:color w:val="00000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1" w:hRule="atLeast"/>
        </w:trPr>
        <w:tc>
          <w:tcPr>
            <w:tcW w:w="1640" w:type="dxa"/>
            <w:vMerge w:val="continue"/>
            <w:shd w:val="clear" w:color="auto" w:fill="auto"/>
            <w:noWrap w:val="0"/>
            <w:vAlign w:val="center"/>
          </w:tcPr>
          <w:p>
            <w:pPr>
              <w:widowControl/>
              <w:jc w:val="center"/>
              <w:rPr>
                <w:color w:val="000000"/>
                <w:kern w:val="0"/>
                <w:szCs w:val="21"/>
              </w:rPr>
            </w:pPr>
          </w:p>
        </w:tc>
        <w:tc>
          <w:tcPr>
            <w:tcW w:w="10102" w:type="dxa"/>
            <w:shd w:val="clear" w:color="auto" w:fill="auto"/>
            <w:noWrap w:val="0"/>
            <w:vAlign w:val="center"/>
          </w:tcPr>
          <w:p>
            <w:pPr>
              <w:widowControl/>
              <w:rPr>
                <w:color w:val="000000"/>
                <w:kern w:val="0"/>
                <w:szCs w:val="21"/>
              </w:rPr>
            </w:pPr>
            <w:r>
              <w:rPr>
                <w:rFonts w:hAnsi="宋体"/>
                <w:color w:val="000000"/>
                <w:kern w:val="0"/>
                <w:szCs w:val="21"/>
              </w:rPr>
              <w:t>（</w:t>
            </w:r>
            <w:r>
              <w:rPr>
                <w:color w:val="000000"/>
                <w:kern w:val="0"/>
                <w:szCs w:val="21"/>
              </w:rPr>
              <w:t>1-2</w:t>
            </w:r>
            <w:r>
              <w:rPr>
                <w:rFonts w:hAnsi="宋体"/>
                <w:color w:val="000000"/>
                <w:kern w:val="0"/>
                <w:szCs w:val="21"/>
              </w:rPr>
              <w:t>）近</w:t>
            </w:r>
            <w:r>
              <w:rPr>
                <w:color w:val="000000"/>
                <w:kern w:val="0"/>
                <w:szCs w:val="21"/>
              </w:rPr>
              <w:t>3</w:t>
            </w:r>
            <w:r>
              <w:rPr>
                <w:rFonts w:hAnsi="宋体"/>
                <w:color w:val="000000"/>
                <w:kern w:val="0"/>
                <w:szCs w:val="21"/>
              </w:rPr>
              <w:t>年科学教师在省级以上核心刊物发表有关科学教育方面的论文，定期交流科学教育工作的经验、做法及新思路（</w:t>
            </w:r>
            <w:r>
              <w:rPr>
                <w:color w:val="000000"/>
                <w:kern w:val="0"/>
                <w:szCs w:val="21"/>
              </w:rPr>
              <w:t>3</w:t>
            </w:r>
            <w:r>
              <w:rPr>
                <w:rFonts w:hAnsi="宋体"/>
                <w:color w:val="000000"/>
                <w:kern w:val="0"/>
                <w:szCs w:val="21"/>
              </w:rPr>
              <w:t>分）。每年有科学教育方面的研究课题（</w:t>
            </w:r>
            <w:r>
              <w:rPr>
                <w:color w:val="000000"/>
                <w:kern w:val="0"/>
                <w:szCs w:val="21"/>
              </w:rPr>
              <w:t>2</w:t>
            </w:r>
            <w:r>
              <w:rPr>
                <w:rFonts w:hAnsi="宋体"/>
                <w:color w:val="000000"/>
                <w:kern w:val="0"/>
                <w:szCs w:val="21"/>
              </w:rPr>
              <w:t>分）。</w:t>
            </w:r>
          </w:p>
        </w:tc>
        <w:tc>
          <w:tcPr>
            <w:tcW w:w="1216" w:type="dxa"/>
            <w:noWrap w:val="0"/>
            <w:vAlign w:val="center"/>
          </w:tcPr>
          <w:p>
            <w:pPr>
              <w:widowControl/>
              <w:jc w:val="center"/>
              <w:rPr>
                <w:rFonts w:hint="eastAsia" w:ascii="宋体" w:hAnsi="宋体" w:cs="宋体"/>
                <w:color w:val="000000"/>
                <w:kern w:val="0"/>
                <w:szCs w:val="21"/>
              </w:rPr>
            </w:pPr>
          </w:p>
        </w:tc>
        <w:tc>
          <w:tcPr>
            <w:tcW w:w="1217" w:type="dxa"/>
            <w:noWrap w:val="0"/>
            <w:vAlign w:val="center"/>
          </w:tcPr>
          <w:p>
            <w:pPr>
              <w:widowControl/>
              <w:jc w:val="center"/>
              <w:rPr>
                <w:rFonts w:hint="eastAsia" w:ascii="宋体" w:hAnsi="宋体" w:cs="宋体"/>
                <w:color w:val="00000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8" w:hRule="atLeast"/>
        </w:trPr>
        <w:tc>
          <w:tcPr>
            <w:tcW w:w="1640" w:type="dxa"/>
            <w:vMerge w:val="continue"/>
            <w:shd w:val="clear" w:color="auto" w:fill="auto"/>
            <w:noWrap w:val="0"/>
            <w:vAlign w:val="center"/>
          </w:tcPr>
          <w:p>
            <w:pPr>
              <w:widowControl/>
              <w:jc w:val="center"/>
              <w:rPr>
                <w:color w:val="000000"/>
                <w:kern w:val="0"/>
                <w:szCs w:val="21"/>
              </w:rPr>
            </w:pPr>
          </w:p>
        </w:tc>
        <w:tc>
          <w:tcPr>
            <w:tcW w:w="10102" w:type="dxa"/>
            <w:shd w:val="clear" w:color="auto" w:fill="auto"/>
            <w:noWrap w:val="0"/>
            <w:vAlign w:val="center"/>
          </w:tcPr>
          <w:p>
            <w:pPr>
              <w:widowControl/>
              <w:rPr>
                <w:color w:val="000000"/>
                <w:kern w:val="0"/>
                <w:szCs w:val="21"/>
              </w:rPr>
            </w:pPr>
            <w:r>
              <w:rPr>
                <w:rFonts w:hAnsi="宋体"/>
                <w:color w:val="000000"/>
                <w:kern w:val="0"/>
                <w:szCs w:val="21"/>
              </w:rPr>
              <w:t>（</w:t>
            </w:r>
            <w:r>
              <w:rPr>
                <w:color w:val="000000"/>
                <w:kern w:val="0"/>
                <w:szCs w:val="21"/>
              </w:rPr>
              <w:t>1-3</w:t>
            </w:r>
            <w:r>
              <w:rPr>
                <w:rFonts w:hAnsi="宋体"/>
                <w:color w:val="000000"/>
                <w:kern w:val="0"/>
                <w:szCs w:val="21"/>
              </w:rPr>
              <w:t>）建立了科技辅导员队伍的建设、培训、考核制度。建立对取得成果的教师在晋级、职称评定、物质奖励等方面的激励机制（</w:t>
            </w:r>
            <w:r>
              <w:rPr>
                <w:color w:val="000000"/>
                <w:kern w:val="0"/>
                <w:szCs w:val="21"/>
              </w:rPr>
              <w:t>3</w:t>
            </w:r>
            <w:r>
              <w:rPr>
                <w:rFonts w:hAnsi="宋体"/>
                <w:color w:val="000000"/>
                <w:kern w:val="0"/>
                <w:szCs w:val="21"/>
              </w:rPr>
              <w:t>分）；对获奖学生有奖励政策（</w:t>
            </w:r>
            <w:r>
              <w:rPr>
                <w:color w:val="000000"/>
                <w:kern w:val="0"/>
                <w:szCs w:val="21"/>
              </w:rPr>
              <w:t>3</w:t>
            </w:r>
            <w:r>
              <w:rPr>
                <w:rFonts w:hAnsi="宋体"/>
                <w:color w:val="000000"/>
                <w:kern w:val="0"/>
                <w:szCs w:val="21"/>
              </w:rPr>
              <w:t>分）。注册成立科技志愿者服务队，注册科技志愿者不少于</w:t>
            </w:r>
            <w:r>
              <w:rPr>
                <w:color w:val="000000"/>
                <w:kern w:val="0"/>
                <w:szCs w:val="21"/>
              </w:rPr>
              <w:t>10</w:t>
            </w:r>
            <w:r>
              <w:rPr>
                <w:rFonts w:hAnsi="宋体"/>
                <w:color w:val="000000"/>
                <w:kern w:val="0"/>
                <w:szCs w:val="21"/>
              </w:rPr>
              <w:t>人或教师总人数的</w:t>
            </w:r>
            <w:r>
              <w:rPr>
                <w:color w:val="000000"/>
                <w:kern w:val="0"/>
                <w:szCs w:val="21"/>
              </w:rPr>
              <w:t>10%</w:t>
            </w:r>
            <w:r>
              <w:rPr>
                <w:rFonts w:hAnsi="宋体"/>
                <w:color w:val="000000"/>
                <w:kern w:val="0"/>
                <w:szCs w:val="21"/>
              </w:rPr>
              <w:t>（</w:t>
            </w:r>
            <w:r>
              <w:rPr>
                <w:color w:val="000000"/>
                <w:kern w:val="0"/>
                <w:szCs w:val="21"/>
              </w:rPr>
              <w:t>2</w:t>
            </w:r>
            <w:r>
              <w:rPr>
                <w:rFonts w:hAnsi="宋体"/>
                <w:color w:val="000000"/>
                <w:kern w:val="0"/>
                <w:szCs w:val="21"/>
              </w:rPr>
              <w:t>分）</w:t>
            </w:r>
            <w:r>
              <w:rPr>
                <w:color w:val="000000"/>
                <w:kern w:val="0"/>
                <w:szCs w:val="21"/>
              </w:rPr>
              <w:t xml:space="preserve"> </w:t>
            </w:r>
            <w:r>
              <w:rPr>
                <w:rFonts w:hAnsi="宋体"/>
                <w:color w:val="000000"/>
                <w:kern w:val="0"/>
                <w:szCs w:val="21"/>
              </w:rPr>
              <w:t>。</w:t>
            </w:r>
          </w:p>
        </w:tc>
        <w:tc>
          <w:tcPr>
            <w:tcW w:w="1216" w:type="dxa"/>
            <w:noWrap w:val="0"/>
            <w:vAlign w:val="center"/>
          </w:tcPr>
          <w:p>
            <w:pPr>
              <w:widowControl/>
              <w:jc w:val="center"/>
              <w:rPr>
                <w:rFonts w:hint="eastAsia" w:ascii="宋体" w:hAnsi="宋体" w:cs="宋体"/>
                <w:color w:val="000000"/>
                <w:kern w:val="0"/>
                <w:szCs w:val="21"/>
              </w:rPr>
            </w:pPr>
          </w:p>
        </w:tc>
        <w:tc>
          <w:tcPr>
            <w:tcW w:w="1217" w:type="dxa"/>
            <w:noWrap w:val="0"/>
            <w:vAlign w:val="center"/>
          </w:tcPr>
          <w:p>
            <w:pPr>
              <w:widowControl/>
              <w:jc w:val="center"/>
              <w:rPr>
                <w:rFonts w:hint="eastAsia" w:ascii="宋体" w:hAnsi="宋体" w:cs="宋体"/>
                <w:color w:val="00000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7" w:hRule="atLeast"/>
        </w:trPr>
        <w:tc>
          <w:tcPr>
            <w:tcW w:w="1640" w:type="dxa"/>
            <w:vMerge w:val="restart"/>
            <w:shd w:val="clear" w:color="auto" w:fill="auto"/>
            <w:noWrap w:val="0"/>
            <w:vAlign w:val="center"/>
          </w:tcPr>
          <w:p>
            <w:pPr>
              <w:widowControl/>
              <w:jc w:val="center"/>
              <w:rPr>
                <w:color w:val="000000"/>
                <w:kern w:val="0"/>
                <w:szCs w:val="21"/>
              </w:rPr>
            </w:pPr>
            <w:r>
              <w:rPr>
                <w:rFonts w:hAnsi="宋体"/>
                <w:color w:val="000000"/>
                <w:kern w:val="0"/>
                <w:szCs w:val="21"/>
              </w:rPr>
              <w:t>科学教育</w:t>
            </w:r>
            <w:r>
              <w:rPr>
                <w:color w:val="000000"/>
                <w:kern w:val="0"/>
                <w:szCs w:val="21"/>
              </w:rPr>
              <w:br w:type="textWrapping"/>
            </w:r>
            <w:r>
              <w:rPr>
                <w:color w:val="000000"/>
                <w:kern w:val="0"/>
                <w:szCs w:val="21"/>
              </w:rPr>
              <w:t>50</w:t>
            </w:r>
            <w:r>
              <w:rPr>
                <w:rFonts w:hAnsi="宋体"/>
                <w:color w:val="000000"/>
                <w:kern w:val="0"/>
                <w:szCs w:val="21"/>
              </w:rPr>
              <w:t>分</w:t>
            </w:r>
          </w:p>
        </w:tc>
        <w:tc>
          <w:tcPr>
            <w:tcW w:w="10102" w:type="dxa"/>
            <w:shd w:val="clear" w:color="auto" w:fill="auto"/>
            <w:noWrap w:val="0"/>
            <w:vAlign w:val="center"/>
          </w:tcPr>
          <w:p>
            <w:pPr>
              <w:widowControl/>
              <w:rPr>
                <w:color w:val="000000"/>
                <w:kern w:val="0"/>
                <w:szCs w:val="21"/>
              </w:rPr>
            </w:pPr>
            <w:r>
              <w:rPr>
                <w:rFonts w:hAnsi="宋体"/>
                <w:color w:val="000000"/>
                <w:kern w:val="0"/>
                <w:szCs w:val="21"/>
              </w:rPr>
              <w:t>（</w:t>
            </w:r>
            <w:r>
              <w:rPr>
                <w:color w:val="000000"/>
                <w:kern w:val="0"/>
                <w:szCs w:val="21"/>
              </w:rPr>
              <w:t>2-1</w:t>
            </w:r>
            <w:r>
              <w:rPr>
                <w:rFonts w:hAnsi="宋体"/>
                <w:color w:val="000000"/>
                <w:kern w:val="0"/>
                <w:szCs w:val="21"/>
              </w:rPr>
              <w:t>）根据国家课程方案和课程标准，开齐上足规定的科学类课程（</w:t>
            </w:r>
            <w:r>
              <w:rPr>
                <w:color w:val="000000"/>
                <w:kern w:val="0"/>
                <w:szCs w:val="21"/>
              </w:rPr>
              <w:t>5</w:t>
            </w:r>
            <w:r>
              <w:rPr>
                <w:rFonts w:hAnsi="宋体"/>
                <w:color w:val="000000"/>
                <w:kern w:val="0"/>
                <w:szCs w:val="21"/>
              </w:rPr>
              <w:t>分）。科学课程的制定，能根据本学段学生的心理和年龄特点，突出科学体验、科学探究，体现</w:t>
            </w:r>
            <w:r>
              <w:rPr>
                <w:color w:val="000000"/>
                <w:kern w:val="0"/>
                <w:szCs w:val="21"/>
              </w:rPr>
              <w:t>STEAM</w:t>
            </w:r>
            <w:r>
              <w:rPr>
                <w:rFonts w:hAnsi="宋体"/>
                <w:color w:val="000000"/>
                <w:kern w:val="0"/>
                <w:szCs w:val="21"/>
              </w:rPr>
              <w:t>教育理念。有独立编写的科学教育校本读物，合理把</w:t>
            </w:r>
            <w:r>
              <w:rPr>
                <w:color w:val="000000"/>
                <w:kern w:val="0"/>
                <w:szCs w:val="21"/>
              </w:rPr>
              <w:t>STEM</w:t>
            </w:r>
            <w:r>
              <w:rPr>
                <w:rFonts w:hAnsi="宋体"/>
                <w:color w:val="000000"/>
                <w:kern w:val="0"/>
                <w:szCs w:val="21"/>
              </w:rPr>
              <w:t>教学策略运用到课堂教学与课外科技实践活动中并有一定的成果交流（</w:t>
            </w:r>
            <w:r>
              <w:rPr>
                <w:color w:val="000000"/>
                <w:kern w:val="0"/>
                <w:szCs w:val="21"/>
              </w:rPr>
              <w:t>5</w:t>
            </w:r>
            <w:r>
              <w:rPr>
                <w:rFonts w:hAnsi="宋体"/>
                <w:color w:val="000000"/>
                <w:kern w:val="0"/>
                <w:szCs w:val="21"/>
              </w:rPr>
              <w:t>分）</w:t>
            </w:r>
          </w:p>
        </w:tc>
        <w:tc>
          <w:tcPr>
            <w:tcW w:w="1216" w:type="dxa"/>
            <w:noWrap w:val="0"/>
            <w:vAlign w:val="center"/>
          </w:tcPr>
          <w:p>
            <w:pPr>
              <w:widowControl/>
              <w:jc w:val="center"/>
              <w:rPr>
                <w:rFonts w:hint="eastAsia" w:ascii="宋体" w:hAnsi="宋体" w:cs="宋体"/>
                <w:color w:val="000000"/>
                <w:kern w:val="0"/>
                <w:szCs w:val="21"/>
              </w:rPr>
            </w:pPr>
          </w:p>
        </w:tc>
        <w:tc>
          <w:tcPr>
            <w:tcW w:w="1217" w:type="dxa"/>
            <w:noWrap w:val="0"/>
            <w:vAlign w:val="center"/>
          </w:tcPr>
          <w:p>
            <w:pPr>
              <w:widowControl/>
              <w:jc w:val="center"/>
              <w:rPr>
                <w:rFonts w:hint="eastAsia" w:ascii="宋体" w:hAnsi="宋体" w:cs="宋体"/>
                <w:color w:val="00000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6" w:hRule="atLeast"/>
        </w:trPr>
        <w:tc>
          <w:tcPr>
            <w:tcW w:w="1640" w:type="dxa"/>
            <w:vMerge w:val="continue"/>
            <w:shd w:val="clear" w:color="auto" w:fill="auto"/>
            <w:noWrap w:val="0"/>
            <w:vAlign w:val="center"/>
          </w:tcPr>
          <w:p>
            <w:pPr>
              <w:widowControl/>
              <w:jc w:val="center"/>
              <w:rPr>
                <w:color w:val="000000"/>
                <w:kern w:val="0"/>
                <w:szCs w:val="21"/>
              </w:rPr>
            </w:pPr>
          </w:p>
        </w:tc>
        <w:tc>
          <w:tcPr>
            <w:tcW w:w="10102" w:type="dxa"/>
            <w:shd w:val="clear" w:color="auto" w:fill="auto"/>
            <w:noWrap w:val="0"/>
            <w:vAlign w:val="center"/>
          </w:tcPr>
          <w:p>
            <w:pPr>
              <w:widowControl/>
              <w:rPr>
                <w:color w:val="000000"/>
                <w:kern w:val="0"/>
                <w:szCs w:val="21"/>
              </w:rPr>
            </w:pPr>
            <w:r>
              <w:rPr>
                <w:rFonts w:hAnsi="宋体"/>
                <w:color w:val="000000"/>
                <w:kern w:val="0"/>
                <w:szCs w:val="21"/>
              </w:rPr>
              <w:t>（</w:t>
            </w:r>
            <w:r>
              <w:rPr>
                <w:color w:val="000000"/>
                <w:kern w:val="0"/>
                <w:szCs w:val="21"/>
              </w:rPr>
              <w:t>2-2</w:t>
            </w:r>
            <w:r>
              <w:rPr>
                <w:rFonts w:hAnsi="宋体"/>
                <w:color w:val="000000"/>
                <w:kern w:val="0"/>
                <w:szCs w:val="21"/>
              </w:rPr>
              <w:t>）综合实践活动课、研究性学习等科技教育课程、活动特色显著并在各类媒体上报道、推荐和交流（</w:t>
            </w:r>
            <w:r>
              <w:rPr>
                <w:color w:val="000000"/>
                <w:kern w:val="0"/>
                <w:szCs w:val="21"/>
              </w:rPr>
              <w:t>3</w:t>
            </w:r>
            <w:r>
              <w:rPr>
                <w:rFonts w:hAnsi="宋体"/>
                <w:color w:val="000000"/>
                <w:kern w:val="0"/>
                <w:szCs w:val="21"/>
              </w:rPr>
              <w:t>分）。充分发挥学生的主体作用，开设</w:t>
            </w:r>
            <w:r>
              <w:rPr>
                <w:color w:val="000000"/>
                <w:kern w:val="0"/>
                <w:szCs w:val="21"/>
              </w:rPr>
              <w:t>3D</w:t>
            </w:r>
            <w:r>
              <w:rPr>
                <w:rFonts w:hAnsi="宋体"/>
                <w:color w:val="000000"/>
                <w:kern w:val="0"/>
                <w:szCs w:val="21"/>
              </w:rPr>
              <w:t>打印、机器人、创客教育、信息编程等各具特色的科技课程（</w:t>
            </w:r>
            <w:r>
              <w:rPr>
                <w:color w:val="000000"/>
                <w:kern w:val="0"/>
                <w:szCs w:val="21"/>
              </w:rPr>
              <w:t>6</w:t>
            </w:r>
            <w:r>
              <w:rPr>
                <w:rFonts w:hAnsi="宋体"/>
                <w:color w:val="000000"/>
                <w:kern w:val="0"/>
                <w:szCs w:val="21"/>
              </w:rPr>
              <w:t>分）。全面推进中小学课后服务工作，积极推进优质科技资源进校园，积极构建课内外相结合的良好育人生态（</w:t>
            </w:r>
            <w:r>
              <w:rPr>
                <w:color w:val="000000"/>
                <w:kern w:val="0"/>
                <w:szCs w:val="21"/>
              </w:rPr>
              <w:t>3</w:t>
            </w:r>
            <w:r>
              <w:rPr>
                <w:rFonts w:hAnsi="宋体"/>
                <w:color w:val="000000"/>
                <w:kern w:val="0"/>
                <w:szCs w:val="21"/>
              </w:rPr>
              <w:t>分）。加强青少年科普教育，每年至少开展</w:t>
            </w:r>
            <w:r>
              <w:rPr>
                <w:color w:val="000000"/>
                <w:kern w:val="0"/>
                <w:szCs w:val="21"/>
              </w:rPr>
              <w:t>1</w:t>
            </w:r>
            <w:r>
              <w:rPr>
                <w:rFonts w:hAnsi="宋体"/>
                <w:color w:val="000000"/>
                <w:kern w:val="0"/>
                <w:szCs w:val="21"/>
              </w:rPr>
              <w:t>次校园科学节、科技专家进校园、科技馆进校园、调查体验活动、求真科学营、少年科学院等活动（</w:t>
            </w:r>
            <w:r>
              <w:rPr>
                <w:color w:val="000000"/>
                <w:kern w:val="0"/>
                <w:szCs w:val="21"/>
              </w:rPr>
              <w:t>5</w:t>
            </w:r>
            <w:r>
              <w:rPr>
                <w:rFonts w:hAnsi="宋体"/>
                <w:color w:val="000000"/>
                <w:kern w:val="0"/>
                <w:szCs w:val="21"/>
              </w:rPr>
              <w:t>分）。</w:t>
            </w:r>
          </w:p>
        </w:tc>
        <w:tc>
          <w:tcPr>
            <w:tcW w:w="1216" w:type="dxa"/>
            <w:noWrap w:val="0"/>
            <w:vAlign w:val="center"/>
          </w:tcPr>
          <w:p>
            <w:pPr>
              <w:widowControl/>
              <w:jc w:val="center"/>
              <w:rPr>
                <w:rFonts w:hint="eastAsia" w:ascii="宋体" w:hAnsi="宋体" w:cs="宋体"/>
                <w:color w:val="000000"/>
                <w:kern w:val="0"/>
                <w:szCs w:val="21"/>
              </w:rPr>
            </w:pPr>
          </w:p>
        </w:tc>
        <w:tc>
          <w:tcPr>
            <w:tcW w:w="1217" w:type="dxa"/>
            <w:noWrap w:val="0"/>
            <w:vAlign w:val="center"/>
          </w:tcPr>
          <w:p>
            <w:pPr>
              <w:widowControl/>
              <w:jc w:val="center"/>
              <w:rPr>
                <w:rFonts w:hint="eastAsia" w:ascii="宋体" w:hAnsi="宋体" w:cs="宋体"/>
                <w:color w:val="00000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7" w:hRule="atLeast"/>
        </w:trPr>
        <w:tc>
          <w:tcPr>
            <w:tcW w:w="1640" w:type="dxa"/>
            <w:vMerge w:val="restart"/>
            <w:shd w:val="clear" w:color="auto" w:fill="auto"/>
            <w:noWrap w:val="0"/>
            <w:vAlign w:val="center"/>
          </w:tcPr>
          <w:p>
            <w:pPr>
              <w:widowControl/>
              <w:jc w:val="center"/>
              <w:rPr>
                <w:color w:val="000000"/>
                <w:kern w:val="0"/>
                <w:szCs w:val="21"/>
              </w:rPr>
            </w:pPr>
            <w:r>
              <w:rPr>
                <w:rFonts w:hAnsi="宋体"/>
                <w:color w:val="000000"/>
                <w:kern w:val="0"/>
                <w:szCs w:val="21"/>
              </w:rPr>
              <w:t>科学教育</w:t>
            </w:r>
            <w:r>
              <w:rPr>
                <w:color w:val="000000"/>
                <w:kern w:val="0"/>
                <w:szCs w:val="21"/>
              </w:rPr>
              <w:br w:type="textWrapping"/>
            </w:r>
            <w:r>
              <w:rPr>
                <w:color w:val="000000"/>
                <w:kern w:val="0"/>
                <w:szCs w:val="21"/>
              </w:rPr>
              <w:t>50</w:t>
            </w:r>
            <w:r>
              <w:rPr>
                <w:rFonts w:hAnsi="宋体"/>
                <w:color w:val="000000"/>
                <w:kern w:val="0"/>
                <w:szCs w:val="21"/>
              </w:rPr>
              <w:t>分</w:t>
            </w:r>
          </w:p>
        </w:tc>
        <w:tc>
          <w:tcPr>
            <w:tcW w:w="10102" w:type="dxa"/>
            <w:shd w:val="clear" w:color="auto" w:fill="auto"/>
            <w:noWrap w:val="0"/>
            <w:vAlign w:val="center"/>
          </w:tcPr>
          <w:p>
            <w:pPr>
              <w:widowControl/>
              <w:rPr>
                <w:color w:val="000000"/>
                <w:kern w:val="0"/>
                <w:szCs w:val="21"/>
              </w:rPr>
            </w:pPr>
            <w:r>
              <w:rPr>
                <w:rFonts w:hAnsi="宋体"/>
                <w:color w:val="000000"/>
                <w:kern w:val="0"/>
                <w:szCs w:val="21"/>
              </w:rPr>
              <w:t>（</w:t>
            </w:r>
            <w:r>
              <w:rPr>
                <w:color w:val="000000"/>
                <w:kern w:val="0"/>
                <w:szCs w:val="21"/>
              </w:rPr>
              <w:t>2-3</w:t>
            </w:r>
            <w:r>
              <w:rPr>
                <w:rFonts w:hAnsi="宋体"/>
                <w:color w:val="000000"/>
                <w:kern w:val="0"/>
                <w:szCs w:val="21"/>
              </w:rPr>
              <w:t>）近三年组织并承办</w:t>
            </w:r>
            <w:r>
              <w:rPr>
                <w:color w:val="000000"/>
                <w:kern w:val="0"/>
                <w:szCs w:val="21"/>
              </w:rPr>
              <w:t>1</w:t>
            </w:r>
            <w:r>
              <w:rPr>
                <w:rFonts w:hAnsi="宋体"/>
                <w:color w:val="000000"/>
                <w:kern w:val="0"/>
                <w:szCs w:val="21"/>
              </w:rPr>
              <w:t>次省级科技活动、竞赛或培训（该项活动、竞赛或培训对应有科协或教育部门主办的国家级活动平台）（</w:t>
            </w:r>
            <w:r>
              <w:rPr>
                <w:color w:val="000000"/>
                <w:kern w:val="0"/>
                <w:szCs w:val="21"/>
              </w:rPr>
              <w:t>2</w:t>
            </w:r>
            <w:r>
              <w:rPr>
                <w:rFonts w:hAnsi="宋体"/>
                <w:color w:val="000000"/>
                <w:kern w:val="0"/>
                <w:szCs w:val="21"/>
              </w:rPr>
              <w:t>分），承办</w:t>
            </w:r>
            <w:r>
              <w:rPr>
                <w:color w:val="000000"/>
                <w:kern w:val="0"/>
                <w:szCs w:val="21"/>
              </w:rPr>
              <w:t>1</w:t>
            </w:r>
            <w:r>
              <w:rPr>
                <w:rFonts w:hAnsi="宋体"/>
                <w:color w:val="000000"/>
                <w:kern w:val="0"/>
                <w:szCs w:val="21"/>
              </w:rPr>
              <w:t>次市竞赛或培训（对应有科协或教育部门主办的国家级、省级项目）（</w:t>
            </w:r>
            <w:r>
              <w:rPr>
                <w:color w:val="000000"/>
                <w:kern w:val="0"/>
                <w:szCs w:val="21"/>
              </w:rPr>
              <w:t>3</w:t>
            </w:r>
            <w:r>
              <w:rPr>
                <w:rFonts w:hAnsi="宋体"/>
                <w:color w:val="000000"/>
                <w:kern w:val="0"/>
                <w:szCs w:val="21"/>
              </w:rPr>
              <w:t>分），承办</w:t>
            </w:r>
            <w:r>
              <w:rPr>
                <w:color w:val="000000"/>
                <w:kern w:val="0"/>
                <w:szCs w:val="21"/>
              </w:rPr>
              <w:t>1</w:t>
            </w:r>
            <w:r>
              <w:rPr>
                <w:rFonts w:hAnsi="宋体"/>
                <w:color w:val="000000"/>
                <w:kern w:val="0"/>
                <w:szCs w:val="21"/>
              </w:rPr>
              <w:t>次区级科技活动、竞赛或培训（对应有科协或教育部门主办的省级、市级项目）（</w:t>
            </w:r>
            <w:r>
              <w:rPr>
                <w:color w:val="000000"/>
                <w:kern w:val="0"/>
                <w:szCs w:val="21"/>
              </w:rPr>
              <w:t>2</w:t>
            </w:r>
            <w:r>
              <w:rPr>
                <w:rFonts w:hAnsi="宋体"/>
                <w:color w:val="000000"/>
                <w:kern w:val="0"/>
                <w:szCs w:val="21"/>
              </w:rPr>
              <w:t>分）。带动周边学校、街道社区、村镇开展科技教育活动，在当地具有一定影响和辐射带动作用（</w:t>
            </w:r>
            <w:r>
              <w:rPr>
                <w:color w:val="000000"/>
                <w:kern w:val="0"/>
                <w:szCs w:val="21"/>
              </w:rPr>
              <w:t>3</w:t>
            </w:r>
            <w:r>
              <w:rPr>
                <w:rFonts w:hAnsi="宋体"/>
                <w:color w:val="000000"/>
                <w:kern w:val="0"/>
                <w:szCs w:val="21"/>
              </w:rPr>
              <w:t>分）。能与科学教育薄弱和欠发达地区学校开展结对帮扶工作（</w:t>
            </w:r>
            <w:r>
              <w:rPr>
                <w:color w:val="000000"/>
                <w:kern w:val="0"/>
                <w:szCs w:val="21"/>
              </w:rPr>
              <w:t>3</w:t>
            </w:r>
            <w:r>
              <w:rPr>
                <w:rFonts w:hAnsi="宋体"/>
                <w:color w:val="000000"/>
                <w:kern w:val="0"/>
                <w:szCs w:val="21"/>
              </w:rPr>
              <w:t>分）。</w:t>
            </w:r>
          </w:p>
        </w:tc>
        <w:tc>
          <w:tcPr>
            <w:tcW w:w="1216" w:type="dxa"/>
            <w:noWrap w:val="0"/>
            <w:vAlign w:val="center"/>
          </w:tcPr>
          <w:p>
            <w:pPr>
              <w:widowControl/>
              <w:jc w:val="center"/>
              <w:rPr>
                <w:rFonts w:hint="eastAsia" w:ascii="宋体" w:hAnsi="宋体" w:cs="宋体"/>
                <w:color w:val="000000"/>
                <w:kern w:val="0"/>
                <w:szCs w:val="21"/>
              </w:rPr>
            </w:pPr>
          </w:p>
        </w:tc>
        <w:tc>
          <w:tcPr>
            <w:tcW w:w="1217" w:type="dxa"/>
            <w:noWrap w:val="0"/>
            <w:vAlign w:val="center"/>
          </w:tcPr>
          <w:p>
            <w:pPr>
              <w:widowControl/>
              <w:jc w:val="center"/>
              <w:rPr>
                <w:rFonts w:hint="eastAsia" w:ascii="宋体" w:hAnsi="宋体" w:cs="宋体"/>
                <w:color w:val="00000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0" w:hRule="atLeast"/>
        </w:trPr>
        <w:tc>
          <w:tcPr>
            <w:tcW w:w="1640" w:type="dxa"/>
            <w:vMerge w:val="continue"/>
            <w:shd w:val="clear" w:color="auto" w:fill="auto"/>
            <w:noWrap w:val="0"/>
            <w:vAlign w:val="center"/>
          </w:tcPr>
          <w:p>
            <w:pPr>
              <w:widowControl/>
              <w:jc w:val="center"/>
              <w:rPr>
                <w:color w:val="000000"/>
                <w:kern w:val="0"/>
                <w:szCs w:val="21"/>
              </w:rPr>
            </w:pPr>
          </w:p>
        </w:tc>
        <w:tc>
          <w:tcPr>
            <w:tcW w:w="10102" w:type="dxa"/>
            <w:shd w:val="clear" w:color="auto" w:fill="auto"/>
            <w:noWrap w:val="0"/>
            <w:vAlign w:val="center"/>
          </w:tcPr>
          <w:p>
            <w:pPr>
              <w:widowControl/>
              <w:rPr>
                <w:color w:val="000000"/>
                <w:kern w:val="0"/>
                <w:szCs w:val="21"/>
              </w:rPr>
            </w:pPr>
            <w:r>
              <w:rPr>
                <w:rFonts w:hAnsi="宋体"/>
                <w:color w:val="000000"/>
                <w:kern w:val="0"/>
                <w:szCs w:val="21"/>
              </w:rPr>
              <w:t>（</w:t>
            </w:r>
            <w:r>
              <w:rPr>
                <w:color w:val="000000"/>
                <w:kern w:val="0"/>
                <w:szCs w:val="21"/>
              </w:rPr>
              <w:t>2-4</w:t>
            </w:r>
            <w:r>
              <w:rPr>
                <w:rFonts w:hAnsi="宋体"/>
                <w:color w:val="000000"/>
                <w:kern w:val="0"/>
                <w:szCs w:val="21"/>
              </w:rPr>
              <w:t>）近三年有</w:t>
            </w:r>
            <w:r>
              <w:rPr>
                <w:color w:val="000000"/>
                <w:kern w:val="0"/>
                <w:szCs w:val="21"/>
              </w:rPr>
              <w:t>1</w:t>
            </w:r>
            <w:r>
              <w:rPr>
                <w:rFonts w:hAnsi="宋体"/>
                <w:color w:val="000000"/>
                <w:kern w:val="0"/>
                <w:szCs w:val="21"/>
              </w:rPr>
              <w:t>项科技活动、竞赛项目获得全国奖项或</w:t>
            </w:r>
            <w:r>
              <w:rPr>
                <w:color w:val="000000"/>
                <w:kern w:val="0"/>
                <w:szCs w:val="21"/>
              </w:rPr>
              <w:t>“</w:t>
            </w:r>
            <w:r>
              <w:rPr>
                <w:rFonts w:hAnsi="宋体"/>
                <w:color w:val="000000"/>
                <w:kern w:val="0"/>
                <w:szCs w:val="21"/>
              </w:rPr>
              <w:t>江苏省青少年科技创新培源奖</w:t>
            </w:r>
            <w:r>
              <w:rPr>
                <w:color w:val="000000"/>
                <w:kern w:val="0"/>
                <w:szCs w:val="21"/>
              </w:rPr>
              <w:t>”</w:t>
            </w:r>
            <w:r>
              <w:rPr>
                <w:rFonts w:hAnsi="宋体"/>
                <w:color w:val="000000"/>
                <w:kern w:val="0"/>
                <w:szCs w:val="21"/>
              </w:rPr>
              <w:t>（</w:t>
            </w:r>
            <w:r>
              <w:rPr>
                <w:color w:val="000000"/>
                <w:kern w:val="0"/>
                <w:szCs w:val="21"/>
              </w:rPr>
              <w:t>1</w:t>
            </w:r>
            <w:r>
              <w:rPr>
                <w:rFonts w:hAnsi="宋体"/>
                <w:color w:val="000000"/>
                <w:kern w:val="0"/>
                <w:szCs w:val="21"/>
              </w:rPr>
              <w:t>分）。有</w:t>
            </w:r>
            <w:r>
              <w:rPr>
                <w:color w:val="000000"/>
                <w:kern w:val="0"/>
                <w:szCs w:val="21"/>
              </w:rPr>
              <w:t>1</w:t>
            </w:r>
            <w:r>
              <w:rPr>
                <w:rFonts w:hAnsi="宋体"/>
                <w:color w:val="000000"/>
                <w:kern w:val="0"/>
                <w:szCs w:val="21"/>
              </w:rPr>
              <w:t>项科技活动、竞赛项目获</w:t>
            </w:r>
            <w:r>
              <w:rPr>
                <w:color w:val="000000"/>
                <w:kern w:val="0"/>
                <w:szCs w:val="21"/>
              </w:rPr>
              <w:t>“</w:t>
            </w:r>
            <w:r>
              <w:rPr>
                <w:rFonts w:hAnsi="宋体"/>
                <w:color w:val="000000"/>
                <w:kern w:val="0"/>
                <w:szCs w:val="21"/>
              </w:rPr>
              <w:t>市长奖</w:t>
            </w:r>
            <w:r>
              <w:rPr>
                <w:color w:val="000000"/>
                <w:kern w:val="0"/>
                <w:szCs w:val="21"/>
              </w:rPr>
              <w:t>”</w:t>
            </w:r>
            <w:r>
              <w:rPr>
                <w:rFonts w:hAnsi="宋体"/>
                <w:color w:val="000000"/>
                <w:kern w:val="0"/>
                <w:szCs w:val="21"/>
              </w:rPr>
              <w:t>（</w:t>
            </w:r>
            <w:r>
              <w:rPr>
                <w:color w:val="000000"/>
                <w:kern w:val="0"/>
                <w:szCs w:val="21"/>
              </w:rPr>
              <w:t>1.5</w:t>
            </w:r>
            <w:r>
              <w:rPr>
                <w:rFonts w:hAnsi="宋体"/>
                <w:color w:val="000000"/>
                <w:kern w:val="0"/>
                <w:szCs w:val="21"/>
              </w:rPr>
              <w:t>分），有</w:t>
            </w:r>
            <w:r>
              <w:rPr>
                <w:color w:val="000000"/>
                <w:kern w:val="0"/>
                <w:szCs w:val="21"/>
              </w:rPr>
              <w:t>1</w:t>
            </w:r>
            <w:r>
              <w:rPr>
                <w:rFonts w:hAnsi="宋体"/>
                <w:color w:val="000000"/>
                <w:kern w:val="0"/>
                <w:szCs w:val="21"/>
              </w:rPr>
              <w:t>项科技活动、竞赛项目获省一等奖（</w:t>
            </w:r>
            <w:r>
              <w:rPr>
                <w:color w:val="000000"/>
                <w:kern w:val="0"/>
                <w:szCs w:val="21"/>
              </w:rPr>
              <w:t>2.5</w:t>
            </w:r>
            <w:r>
              <w:rPr>
                <w:rFonts w:hAnsi="宋体"/>
                <w:color w:val="000000"/>
                <w:kern w:val="0"/>
                <w:szCs w:val="21"/>
              </w:rPr>
              <w:t>分）。全校参加省、市组织的各类科技竞赛活动的总参与率达</w:t>
            </w:r>
            <w:r>
              <w:rPr>
                <w:color w:val="000000"/>
                <w:kern w:val="0"/>
                <w:szCs w:val="21"/>
              </w:rPr>
              <w:t>100%</w:t>
            </w:r>
            <w:r>
              <w:rPr>
                <w:rFonts w:hAnsi="宋体"/>
                <w:color w:val="000000"/>
                <w:kern w:val="0"/>
                <w:szCs w:val="21"/>
              </w:rPr>
              <w:t>（以教育部和省教育厅公布的中小学生科技类竞赛活动项目目录为准），学生在高阶段科技竞赛中取得的成果数量多、成绩优秀（指科技全国奖项和省级奖项），有学生入选中学生英才计划或省青少年科技创新后备人才计划（</w:t>
            </w:r>
            <w:r>
              <w:rPr>
                <w:color w:val="000000"/>
                <w:kern w:val="0"/>
                <w:szCs w:val="21"/>
              </w:rPr>
              <w:t>5</w:t>
            </w:r>
            <w:r>
              <w:rPr>
                <w:rFonts w:hAnsi="宋体"/>
                <w:color w:val="000000"/>
                <w:kern w:val="0"/>
                <w:szCs w:val="21"/>
              </w:rPr>
              <w:t>分）。</w:t>
            </w:r>
          </w:p>
        </w:tc>
        <w:tc>
          <w:tcPr>
            <w:tcW w:w="1216" w:type="dxa"/>
            <w:noWrap w:val="0"/>
            <w:vAlign w:val="center"/>
          </w:tcPr>
          <w:p>
            <w:pPr>
              <w:widowControl/>
              <w:jc w:val="center"/>
              <w:rPr>
                <w:rFonts w:hint="eastAsia" w:ascii="宋体" w:hAnsi="宋体" w:cs="宋体"/>
                <w:color w:val="000000"/>
                <w:kern w:val="0"/>
                <w:szCs w:val="21"/>
              </w:rPr>
            </w:pPr>
          </w:p>
        </w:tc>
        <w:tc>
          <w:tcPr>
            <w:tcW w:w="1217" w:type="dxa"/>
            <w:noWrap w:val="0"/>
            <w:vAlign w:val="center"/>
          </w:tcPr>
          <w:p>
            <w:pPr>
              <w:widowControl/>
              <w:jc w:val="center"/>
              <w:rPr>
                <w:rFonts w:hint="eastAsia" w:ascii="宋体" w:hAnsi="宋体" w:cs="宋体"/>
                <w:color w:val="00000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640" w:type="dxa"/>
            <w:vMerge w:val="restart"/>
            <w:shd w:val="clear" w:color="auto" w:fill="auto"/>
            <w:noWrap w:val="0"/>
            <w:vAlign w:val="center"/>
          </w:tcPr>
          <w:p>
            <w:pPr>
              <w:widowControl/>
              <w:jc w:val="center"/>
              <w:rPr>
                <w:color w:val="000000"/>
                <w:kern w:val="0"/>
                <w:szCs w:val="21"/>
              </w:rPr>
            </w:pPr>
            <w:r>
              <w:rPr>
                <w:rFonts w:hAnsi="宋体"/>
                <w:color w:val="000000"/>
                <w:kern w:val="0"/>
                <w:szCs w:val="21"/>
              </w:rPr>
              <w:t>师资队伍</w:t>
            </w:r>
            <w:r>
              <w:rPr>
                <w:color w:val="000000"/>
                <w:kern w:val="0"/>
                <w:szCs w:val="21"/>
              </w:rPr>
              <w:br w:type="textWrapping"/>
            </w:r>
            <w:r>
              <w:rPr>
                <w:color w:val="000000"/>
                <w:kern w:val="0"/>
                <w:szCs w:val="21"/>
              </w:rPr>
              <w:t>15</w:t>
            </w:r>
            <w:r>
              <w:rPr>
                <w:rFonts w:hAnsi="宋体"/>
                <w:color w:val="000000"/>
                <w:kern w:val="0"/>
                <w:szCs w:val="21"/>
              </w:rPr>
              <w:t>分</w:t>
            </w:r>
          </w:p>
        </w:tc>
        <w:tc>
          <w:tcPr>
            <w:tcW w:w="10102" w:type="dxa"/>
            <w:shd w:val="clear" w:color="auto" w:fill="auto"/>
            <w:noWrap w:val="0"/>
            <w:vAlign w:val="center"/>
          </w:tcPr>
          <w:p>
            <w:pPr>
              <w:widowControl/>
              <w:rPr>
                <w:color w:val="000000"/>
                <w:kern w:val="0"/>
                <w:szCs w:val="21"/>
              </w:rPr>
            </w:pPr>
            <w:r>
              <w:rPr>
                <w:rFonts w:hAnsi="宋体"/>
                <w:color w:val="000000"/>
                <w:kern w:val="0"/>
                <w:szCs w:val="21"/>
              </w:rPr>
              <w:t>（</w:t>
            </w:r>
            <w:r>
              <w:rPr>
                <w:color w:val="000000"/>
                <w:kern w:val="0"/>
                <w:szCs w:val="21"/>
              </w:rPr>
              <w:t>3-1</w:t>
            </w:r>
            <w:r>
              <w:rPr>
                <w:rFonts w:hAnsi="宋体"/>
                <w:color w:val="000000"/>
                <w:kern w:val="0"/>
                <w:szCs w:val="21"/>
              </w:rPr>
              <w:t>）有较高专业能力的科学教师，有</w:t>
            </w:r>
            <w:r>
              <w:rPr>
                <w:color w:val="000000"/>
                <w:kern w:val="0"/>
                <w:szCs w:val="21"/>
              </w:rPr>
              <w:t>3</w:t>
            </w:r>
            <w:r>
              <w:rPr>
                <w:rFonts w:hAnsi="宋体"/>
                <w:color w:val="000000"/>
                <w:kern w:val="0"/>
                <w:szCs w:val="21"/>
              </w:rPr>
              <w:t>名及以上专职科学教师，并有</w:t>
            </w:r>
            <w:r>
              <w:rPr>
                <w:color w:val="000000"/>
                <w:kern w:val="0"/>
                <w:szCs w:val="21"/>
              </w:rPr>
              <w:t>1</w:t>
            </w:r>
            <w:r>
              <w:rPr>
                <w:rFonts w:hAnsi="宋体"/>
                <w:color w:val="000000"/>
                <w:kern w:val="0"/>
                <w:szCs w:val="21"/>
              </w:rPr>
              <w:t>名及以上经认证的专职科技辅导员（</w:t>
            </w:r>
            <w:r>
              <w:rPr>
                <w:color w:val="000000"/>
                <w:kern w:val="0"/>
                <w:szCs w:val="21"/>
              </w:rPr>
              <w:t>5</w:t>
            </w:r>
            <w:r>
              <w:rPr>
                <w:rFonts w:hAnsi="宋体"/>
                <w:color w:val="000000"/>
                <w:kern w:val="0"/>
                <w:szCs w:val="21"/>
              </w:rPr>
              <w:t>分）。</w:t>
            </w:r>
          </w:p>
        </w:tc>
        <w:tc>
          <w:tcPr>
            <w:tcW w:w="1216" w:type="dxa"/>
            <w:noWrap w:val="0"/>
            <w:vAlign w:val="center"/>
          </w:tcPr>
          <w:p>
            <w:pPr>
              <w:widowControl/>
              <w:jc w:val="center"/>
              <w:rPr>
                <w:rFonts w:hint="eastAsia" w:ascii="宋体" w:hAnsi="宋体" w:cs="宋体"/>
                <w:color w:val="000000"/>
                <w:kern w:val="0"/>
                <w:szCs w:val="21"/>
              </w:rPr>
            </w:pPr>
          </w:p>
        </w:tc>
        <w:tc>
          <w:tcPr>
            <w:tcW w:w="1217" w:type="dxa"/>
            <w:noWrap w:val="0"/>
            <w:vAlign w:val="center"/>
          </w:tcPr>
          <w:p>
            <w:pPr>
              <w:widowControl/>
              <w:jc w:val="center"/>
              <w:rPr>
                <w:rFonts w:hint="eastAsia" w:ascii="宋体" w:hAnsi="宋体" w:cs="宋体"/>
                <w:color w:val="00000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7" w:hRule="atLeast"/>
        </w:trPr>
        <w:tc>
          <w:tcPr>
            <w:tcW w:w="1640" w:type="dxa"/>
            <w:vMerge w:val="continue"/>
            <w:shd w:val="clear" w:color="auto" w:fill="auto"/>
            <w:noWrap w:val="0"/>
            <w:vAlign w:val="center"/>
          </w:tcPr>
          <w:p>
            <w:pPr>
              <w:widowControl/>
              <w:jc w:val="center"/>
              <w:rPr>
                <w:color w:val="000000"/>
                <w:kern w:val="0"/>
                <w:szCs w:val="21"/>
              </w:rPr>
            </w:pPr>
          </w:p>
        </w:tc>
        <w:tc>
          <w:tcPr>
            <w:tcW w:w="10102" w:type="dxa"/>
            <w:shd w:val="clear" w:color="auto" w:fill="auto"/>
            <w:noWrap w:val="0"/>
            <w:vAlign w:val="center"/>
          </w:tcPr>
          <w:p>
            <w:pPr>
              <w:widowControl/>
              <w:rPr>
                <w:color w:val="000000"/>
                <w:kern w:val="0"/>
                <w:szCs w:val="21"/>
              </w:rPr>
            </w:pPr>
            <w:r>
              <w:rPr>
                <w:rFonts w:hAnsi="宋体"/>
                <w:color w:val="000000"/>
                <w:kern w:val="0"/>
                <w:szCs w:val="21"/>
              </w:rPr>
              <w:t>（</w:t>
            </w:r>
            <w:r>
              <w:rPr>
                <w:color w:val="000000"/>
                <w:kern w:val="0"/>
                <w:szCs w:val="21"/>
              </w:rPr>
              <w:t>3-2</w:t>
            </w:r>
            <w:r>
              <w:rPr>
                <w:rFonts w:hAnsi="宋体"/>
                <w:color w:val="000000"/>
                <w:kern w:val="0"/>
                <w:szCs w:val="21"/>
              </w:rPr>
              <w:t>）每年组织科学教师、科技活动辅导员参加各级各类科技活动、竞赛项目和科学教育培训（</w:t>
            </w:r>
            <w:r>
              <w:rPr>
                <w:color w:val="000000"/>
                <w:kern w:val="0"/>
                <w:szCs w:val="21"/>
              </w:rPr>
              <w:t>2</w:t>
            </w:r>
            <w:r>
              <w:rPr>
                <w:rFonts w:hAnsi="宋体"/>
                <w:color w:val="000000"/>
                <w:kern w:val="0"/>
                <w:szCs w:val="21"/>
              </w:rPr>
              <w:t>分）。专职科学教师每年参加省、市科协、教育部门组织的科学教育培训、省</w:t>
            </w:r>
            <w:r>
              <w:rPr>
                <w:color w:val="000000"/>
                <w:kern w:val="0"/>
                <w:szCs w:val="21"/>
              </w:rPr>
              <w:t>STEAM</w:t>
            </w:r>
            <w:r>
              <w:rPr>
                <w:rFonts w:hAnsi="宋体"/>
                <w:color w:val="000000"/>
                <w:kern w:val="0"/>
                <w:szCs w:val="21"/>
              </w:rPr>
              <w:t>科学教育云中心线上、线下的培训等共不少于</w:t>
            </w:r>
            <w:r>
              <w:rPr>
                <w:color w:val="000000"/>
                <w:kern w:val="0"/>
                <w:szCs w:val="21"/>
              </w:rPr>
              <w:t>40</w:t>
            </w:r>
            <w:r>
              <w:rPr>
                <w:rFonts w:hAnsi="宋体"/>
                <w:color w:val="000000"/>
                <w:kern w:val="0"/>
                <w:szCs w:val="21"/>
              </w:rPr>
              <w:t>课时（</w:t>
            </w:r>
            <w:r>
              <w:rPr>
                <w:color w:val="000000"/>
                <w:kern w:val="0"/>
                <w:szCs w:val="21"/>
              </w:rPr>
              <w:t>5</w:t>
            </w:r>
            <w:r>
              <w:rPr>
                <w:rFonts w:hAnsi="宋体"/>
                <w:color w:val="000000"/>
                <w:kern w:val="0"/>
                <w:szCs w:val="21"/>
              </w:rPr>
              <w:t>分）。</w:t>
            </w:r>
          </w:p>
        </w:tc>
        <w:tc>
          <w:tcPr>
            <w:tcW w:w="1216" w:type="dxa"/>
            <w:noWrap w:val="0"/>
            <w:vAlign w:val="center"/>
          </w:tcPr>
          <w:p>
            <w:pPr>
              <w:widowControl/>
              <w:jc w:val="center"/>
              <w:rPr>
                <w:rFonts w:hint="eastAsia" w:ascii="宋体" w:hAnsi="宋体" w:cs="宋体"/>
                <w:color w:val="000000"/>
                <w:kern w:val="0"/>
                <w:szCs w:val="21"/>
              </w:rPr>
            </w:pPr>
          </w:p>
        </w:tc>
        <w:tc>
          <w:tcPr>
            <w:tcW w:w="1217" w:type="dxa"/>
            <w:noWrap w:val="0"/>
            <w:vAlign w:val="center"/>
          </w:tcPr>
          <w:p>
            <w:pPr>
              <w:widowControl/>
              <w:jc w:val="center"/>
              <w:rPr>
                <w:rFonts w:hint="eastAsia" w:ascii="宋体" w:hAnsi="宋体" w:cs="宋体"/>
                <w:color w:val="00000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640" w:type="dxa"/>
            <w:vMerge w:val="continue"/>
            <w:shd w:val="clear" w:color="auto" w:fill="auto"/>
            <w:noWrap w:val="0"/>
            <w:vAlign w:val="center"/>
          </w:tcPr>
          <w:p>
            <w:pPr>
              <w:widowControl/>
              <w:jc w:val="center"/>
              <w:rPr>
                <w:color w:val="000000"/>
                <w:kern w:val="0"/>
                <w:szCs w:val="21"/>
              </w:rPr>
            </w:pPr>
          </w:p>
        </w:tc>
        <w:tc>
          <w:tcPr>
            <w:tcW w:w="10102" w:type="dxa"/>
            <w:shd w:val="clear" w:color="auto" w:fill="auto"/>
            <w:noWrap w:val="0"/>
            <w:vAlign w:val="center"/>
          </w:tcPr>
          <w:p>
            <w:pPr>
              <w:widowControl/>
              <w:rPr>
                <w:color w:val="000000"/>
                <w:kern w:val="0"/>
                <w:szCs w:val="21"/>
              </w:rPr>
            </w:pPr>
            <w:r>
              <w:rPr>
                <w:rFonts w:hAnsi="宋体"/>
                <w:color w:val="000000"/>
                <w:kern w:val="0"/>
                <w:szCs w:val="21"/>
              </w:rPr>
              <w:t>（</w:t>
            </w:r>
            <w:r>
              <w:rPr>
                <w:color w:val="000000"/>
                <w:kern w:val="0"/>
                <w:szCs w:val="21"/>
              </w:rPr>
              <w:t>3-3</w:t>
            </w:r>
            <w:r>
              <w:rPr>
                <w:rFonts w:hAnsi="宋体"/>
                <w:color w:val="000000"/>
                <w:kern w:val="0"/>
                <w:szCs w:val="21"/>
              </w:rPr>
              <w:t>）有一支由科学家、科技工作者、科技志愿者等组成的热心青少年科学教育的兼职（或校外）辅导员队伍，定期开展各类活动，有一定成效（</w:t>
            </w:r>
            <w:r>
              <w:rPr>
                <w:color w:val="000000"/>
                <w:kern w:val="0"/>
                <w:szCs w:val="21"/>
              </w:rPr>
              <w:t>3</w:t>
            </w:r>
            <w:r>
              <w:rPr>
                <w:rFonts w:hAnsi="宋体"/>
                <w:color w:val="000000"/>
                <w:kern w:val="0"/>
                <w:szCs w:val="21"/>
              </w:rPr>
              <w:t>分）。</w:t>
            </w:r>
          </w:p>
        </w:tc>
        <w:tc>
          <w:tcPr>
            <w:tcW w:w="1216" w:type="dxa"/>
            <w:noWrap w:val="0"/>
            <w:vAlign w:val="center"/>
          </w:tcPr>
          <w:p>
            <w:pPr>
              <w:widowControl/>
              <w:jc w:val="center"/>
              <w:rPr>
                <w:rFonts w:hint="eastAsia" w:ascii="宋体" w:hAnsi="宋体" w:cs="宋体"/>
                <w:color w:val="000000"/>
                <w:kern w:val="0"/>
                <w:szCs w:val="21"/>
              </w:rPr>
            </w:pPr>
          </w:p>
        </w:tc>
        <w:tc>
          <w:tcPr>
            <w:tcW w:w="1217" w:type="dxa"/>
            <w:noWrap w:val="0"/>
            <w:vAlign w:val="center"/>
          </w:tcPr>
          <w:p>
            <w:pPr>
              <w:widowControl/>
              <w:jc w:val="center"/>
              <w:rPr>
                <w:rFonts w:hint="eastAsia" w:ascii="宋体" w:hAnsi="宋体" w:cs="宋体"/>
                <w:color w:val="00000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5" w:hRule="atLeast"/>
        </w:trPr>
        <w:tc>
          <w:tcPr>
            <w:tcW w:w="1640" w:type="dxa"/>
            <w:vMerge w:val="restart"/>
            <w:shd w:val="clear" w:color="auto" w:fill="auto"/>
            <w:noWrap w:val="0"/>
            <w:vAlign w:val="center"/>
          </w:tcPr>
          <w:p>
            <w:pPr>
              <w:widowControl/>
              <w:jc w:val="center"/>
              <w:rPr>
                <w:color w:val="000000"/>
                <w:kern w:val="0"/>
                <w:szCs w:val="21"/>
              </w:rPr>
            </w:pPr>
            <w:r>
              <w:rPr>
                <w:rFonts w:hAnsi="宋体"/>
                <w:color w:val="000000"/>
                <w:kern w:val="0"/>
                <w:szCs w:val="21"/>
              </w:rPr>
              <w:t>设施建设</w:t>
            </w:r>
            <w:r>
              <w:rPr>
                <w:color w:val="000000"/>
                <w:kern w:val="0"/>
                <w:szCs w:val="21"/>
              </w:rPr>
              <w:br w:type="textWrapping"/>
            </w:r>
            <w:r>
              <w:rPr>
                <w:color w:val="000000"/>
                <w:kern w:val="0"/>
                <w:szCs w:val="21"/>
              </w:rPr>
              <w:t>20</w:t>
            </w:r>
            <w:r>
              <w:rPr>
                <w:rFonts w:hAnsi="宋体"/>
                <w:color w:val="000000"/>
                <w:kern w:val="0"/>
                <w:szCs w:val="21"/>
              </w:rPr>
              <w:t>分</w:t>
            </w:r>
          </w:p>
        </w:tc>
        <w:tc>
          <w:tcPr>
            <w:tcW w:w="10102" w:type="dxa"/>
            <w:shd w:val="clear" w:color="auto" w:fill="auto"/>
            <w:noWrap w:val="0"/>
            <w:vAlign w:val="center"/>
          </w:tcPr>
          <w:p>
            <w:pPr>
              <w:widowControl/>
              <w:rPr>
                <w:color w:val="000000"/>
                <w:kern w:val="0"/>
                <w:szCs w:val="21"/>
              </w:rPr>
            </w:pPr>
            <w:r>
              <w:rPr>
                <w:rFonts w:hAnsi="宋体"/>
                <w:color w:val="000000"/>
                <w:kern w:val="0"/>
                <w:szCs w:val="21"/>
              </w:rPr>
              <w:t>（</w:t>
            </w:r>
            <w:r>
              <w:rPr>
                <w:color w:val="000000"/>
                <w:kern w:val="0"/>
                <w:szCs w:val="21"/>
              </w:rPr>
              <w:t>4-1</w:t>
            </w:r>
            <w:r>
              <w:rPr>
                <w:rFonts w:hAnsi="宋体"/>
                <w:color w:val="000000"/>
                <w:kern w:val="0"/>
                <w:szCs w:val="21"/>
              </w:rPr>
              <w:t>）保证科学教育与培训基础设施建设的投入，重视科学教育信息化建设，学校有网络、无线宽带、科普大屏等信息化设备配备（</w:t>
            </w:r>
            <w:r>
              <w:rPr>
                <w:color w:val="000000"/>
                <w:kern w:val="0"/>
                <w:szCs w:val="21"/>
              </w:rPr>
              <w:t>2</w:t>
            </w:r>
            <w:r>
              <w:rPr>
                <w:rFonts w:hAnsi="宋体"/>
                <w:color w:val="000000"/>
                <w:kern w:val="0"/>
                <w:szCs w:val="21"/>
              </w:rPr>
              <w:t>分）。每学期科学教育活动经费不低于</w:t>
            </w:r>
            <w:r>
              <w:rPr>
                <w:color w:val="000000"/>
                <w:kern w:val="0"/>
                <w:szCs w:val="21"/>
              </w:rPr>
              <w:t>5</w:t>
            </w:r>
            <w:r>
              <w:rPr>
                <w:rFonts w:hAnsi="宋体"/>
                <w:color w:val="000000"/>
                <w:kern w:val="0"/>
                <w:szCs w:val="21"/>
              </w:rPr>
              <w:t>万元（</w:t>
            </w:r>
            <w:r>
              <w:rPr>
                <w:color w:val="000000"/>
                <w:kern w:val="0"/>
                <w:szCs w:val="21"/>
              </w:rPr>
              <w:t>5</w:t>
            </w:r>
            <w:r>
              <w:rPr>
                <w:rFonts w:hAnsi="宋体"/>
                <w:color w:val="000000"/>
                <w:kern w:val="0"/>
                <w:szCs w:val="21"/>
              </w:rPr>
              <w:t>分）。建有各具特色的</w:t>
            </w:r>
            <w:r>
              <w:rPr>
                <w:color w:val="000000"/>
                <w:kern w:val="0"/>
                <w:szCs w:val="21"/>
              </w:rPr>
              <w:t>“</w:t>
            </w:r>
            <w:r>
              <w:rPr>
                <w:rFonts w:hAnsi="宋体"/>
                <w:color w:val="000000"/>
                <w:kern w:val="0"/>
                <w:szCs w:val="21"/>
              </w:rPr>
              <w:t>省级青少年科学工作室</w:t>
            </w:r>
            <w:r>
              <w:rPr>
                <w:color w:val="000000"/>
                <w:kern w:val="0"/>
                <w:szCs w:val="21"/>
              </w:rPr>
              <w:t>”</w:t>
            </w:r>
            <w:r>
              <w:rPr>
                <w:rFonts w:hAnsi="宋体"/>
                <w:color w:val="000000"/>
                <w:kern w:val="0"/>
                <w:szCs w:val="21"/>
              </w:rPr>
              <w:t>、</w:t>
            </w:r>
            <w:r>
              <w:rPr>
                <w:color w:val="000000"/>
                <w:kern w:val="0"/>
                <w:szCs w:val="21"/>
              </w:rPr>
              <w:t>“</w:t>
            </w:r>
            <w:r>
              <w:rPr>
                <w:rFonts w:hAnsi="宋体"/>
                <w:color w:val="000000"/>
                <w:kern w:val="0"/>
                <w:szCs w:val="21"/>
              </w:rPr>
              <w:t>省级青少年科技创新基地</w:t>
            </w:r>
            <w:r>
              <w:rPr>
                <w:color w:val="000000"/>
                <w:kern w:val="0"/>
                <w:szCs w:val="21"/>
              </w:rPr>
              <w:t>”</w:t>
            </w:r>
            <w:r>
              <w:rPr>
                <w:rFonts w:hAnsi="宋体"/>
                <w:color w:val="000000"/>
                <w:kern w:val="0"/>
                <w:szCs w:val="21"/>
              </w:rPr>
              <w:t>、</w:t>
            </w:r>
            <w:r>
              <w:rPr>
                <w:color w:val="000000"/>
                <w:kern w:val="0"/>
                <w:szCs w:val="21"/>
              </w:rPr>
              <w:t>“</w:t>
            </w:r>
            <w:r>
              <w:rPr>
                <w:rFonts w:hAnsi="宋体"/>
                <w:color w:val="000000"/>
                <w:kern w:val="0"/>
                <w:szCs w:val="21"/>
              </w:rPr>
              <w:t>创客工作室</w:t>
            </w:r>
            <w:r>
              <w:rPr>
                <w:color w:val="000000"/>
                <w:kern w:val="0"/>
                <w:szCs w:val="21"/>
              </w:rPr>
              <w:t>”</w:t>
            </w:r>
            <w:r>
              <w:rPr>
                <w:rFonts w:hAnsi="宋体"/>
                <w:color w:val="000000"/>
                <w:kern w:val="0"/>
                <w:szCs w:val="21"/>
              </w:rPr>
              <w:t>、</w:t>
            </w:r>
            <w:r>
              <w:rPr>
                <w:color w:val="000000"/>
                <w:kern w:val="0"/>
                <w:szCs w:val="21"/>
              </w:rPr>
              <w:t>“STEAM</w:t>
            </w:r>
            <w:r>
              <w:rPr>
                <w:rFonts w:hAnsi="宋体"/>
                <w:color w:val="000000"/>
                <w:kern w:val="0"/>
                <w:szCs w:val="21"/>
              </w:rPr>
              <w:t>教育实验室</w:t>
            </w:r>
            <w:r>
              <w:rPr>
                <w:color w:val="000000"/>
                <w:kern w:val="0"/>
                <w:szCs w:val="21"/>
              </w:rPr>
              <w:t>”</w:t>
            </w:r>
            <w:r>
              <w:rPr>
                <w:rFonts w:hAnsi="宋体"/>
                <w:color w:val="000000"/>
                <w:kern w:val="0"/>
                <w:szCs w:val="21"/>
              </w:rPr>
              <w:t>或</w:t>
            </w:r>
            <w:r>
              <w:rPr>
                <w:color w:val="000000"/>
                <w:kern w:val="0"/>
                <w:szCs w:val="21"/>
              </w:rPr>
              <w:t>“</w:t>
            </w:r>
            <w:r>
              <w:rPr>
                <w:rFonts w:hAnsi="宋体"/>
                <w:color w:val="000000"/>
                <w:kern w:val="0"/>
                <w:szCs w:val="21"/>
              </w:rPr>
              <w:t>省级优秀少年科学院</w:t>
            </w:r>
            <w:r>
              <w:rPr>
                <w:color w:val="000000"/>
                <w:kern w:val="0"/>
                <w:szCs w:val="21"/>
              </w:rPr>
              <w:t>”</w:t>
            </w:r>
            <w:r>
              <w:rPr>
                <w:rFonts w:hAnsi="宋体"/>
                <w:color w:val="000000"/>
                <w:kern w:val="0"/>
                <w:szCs w:val="21"/>
              </w:rPr>
              <w:t>（</w:t>
            </w:r>
            <w:r>
              <w:rPr>
                <w:color w:val="000000"/>
                <w:kern w:val="0"/>
                <w:szCs w:val="21"/>
              </w:rPr>
              <w:t>8</w:t>
            </w:r>
            <w:r>
              <w:rPr>
                <w:rFonts w:hAnsi="宋体"/>
                <w:color w:val="000000"/>
                <w:kern w:val="0"/>
                <w:szCs w:val="21"/>
              </w:rPr>
              <w:t>分）。</w:t>
            </w:r>
          </w:p>
        </w:tc>
        <w:tc>
          <w:tcPr>
            <w:tcW w:w="1216" w:type="dxa"/>
            <w:noWrap w:val="0"/>
            <w:vAlign w:val="center"/>
          </w:tcPr>
          <w:p>
            <w:pPr>
              <w:widowControl/>
              <w:jc w:val="center"/>
              <w:rPr>
                <w:rFonts w:hint="eastAsia" w:ascii="宋体" w:hAnsi="宋体" w:cs="宋体"/>
                <w:color w:val="000000"/>
                <w:kern w:val="0"/>
                <w:szCs w:val="21"/>
              </w:rPr>
            </w:pPr>
          </w:p>
        </w:tc>
        <w:tc>
          <w:tcPr>
            <w:tcW w:w="1217" w:type="dxa"/>
            <w:noWrap w:val="0"/>
            <w:vAlign w:val="center"/>
          </w:tcPr>
          <w:p>
            <w:pPr>
              <w:widowControl/>
              <w:jc w:val="center"/>
              <w:rPr>
                <w:rFonts w:hint="eastAsia" w:ascii="宋体" w:hAnsi="宋体" w:cs="宋体"/>
                <w:color w:val="00000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640" w:type="dxa"/>
            <w:vMerge w:val="continue"/>
            <w:shd w:val="clear" w:color="auto" w:fill="auto"/>
            <w:noWrap w:val="0"/>
            <w:vAlign w:val="center"/>
          </w:tcPr>
          <w:p>
            <w:pPr>
              <w:widowControl/>
              <w:jc w:val="center"/>
              <w:rPr>
                <w:color w:val="000000"/>
                <w:kern w:val="0"/>
                <w:szCs w:val="21"/>
              </w:rPr>
            </w:pPr>
          </w:p>
        </w:tc>
        <w:tc>
          <w:tcPr>
            <w:tcW w:w="10102" w:type="dxa"/>
            <w:shd w:val="clear" w:color="auto" w:fill="auto"/>
            <w:noWrap w:val="0"/>
            <w:vAlign w:val="center"/>
          </w:tcPr>
          <w:p>
            <w:pPr>
              <w:widowControl/>
              <w:rPr>
                <w:color w:val="000000"/>
                <w:kern w:val="0"/>
                <w:szCs w:val="21"/>
              </w:rPr>
            </w:pPr>
            <w:r>
              <w:rPr>
                <w:rFonts w:hAnsi="宋体"/>
                <w:color w:val="000000"/>
                <w:kern w:val="0"/>
                <w:szCs w:val="21"/>
              </w:rPr>
              <w:t>（</w:t>
            </w:r>
            <w:r>
              <w:rPr>
                <w:color w:val="000000"/>
                <w:kern w:val="0"/>
                <w:szCs w:val="21"/>
              </w:rPr>
              <w:t>4-2</w:t>
            </w:r>
            <w:r>
              <w:rPr>
                <w:rFonts w:hAnsi="宋体"/>
                <w:color w:val="000000"/>
                <w:kern w:val="0"/>
                <w:szCs w:val="21"/>
              </w:rPr>
              <w:t>）有固定的校外科普教育基地，与当地高等院校、科研院所、企业基地、科技场馆等建立联系，定期开展</w:t>
            </w:r>
            <w:r>
              <w:rPr>
                <w:color w:val="000000"/>
                <w:kern w:val="0"/>
                <w:szCs w:val="21"/>
              </w:rPr>
              <w:t xml:space="preserve"> “</w:t>
            </w:r>
            <w:r>
              <w:rPr>
                <w:rFonts w:hAnsi="宋体"/>
                <w:color w:val="000000"/>
                <w:kern w:val="0"/>
                <w:szCs w:val="21"/>
              </w:rPr>
              <w:t>学生进科研院所</w:t>
            </w:r>
            <w:r>
              <w:rPr>
                <w:color w:val="000000"/>
                <w:kern w:val="0"/>
                <w:szCs w:val="21"/>
              </w:rPr>
              <w:t>”</w:t>
            </w:r>
            <w:r>
              <w:rPr>
                <w:rFonts w:hAnsi="宋体"/>
                <w:color w:val="000000"/>
                <w:kern w:val="0"/>
                <w:szCs w:val="21"/>
              </w:rPr>
              <w:t>、</w:t>
            </w:r>
            <w:r>
              <w:rPr>
                <w:color w:val="000000"/>
                <w:kern w:val="0"/>
                <w:szCs w:val="21"/>
              </w:rPr>
              <w:t>“</w:t>
            </w:r>
            <w:r>
              <w:rPr>
                <w:rFonts w:hAnsi="宋体"/>
                <w:color w:val="000000"/>
                <w:kern w:val="0"/>
                <w:szCs w:val="21"/>
              </w:rPr>
              <w:t>实训基地开放日</w:t>
            </w:r>
            <w:r>
              <w:rPr>
                <w:color w:val="000000"/>
                <w:kern w:val="0"/>
                <w:szCs w:val="21"/>
              </w:rPr>
              <w:t>”</w:t>
            </w:r>
            <w:r>
              <w:rPr>
                <w:rFonts w:hAnsi="宋体"/>
                <w:color w:val="000000"/>
                <w:kern w:val="0"/>
                <w:szCs w:val="21"/>
              </w:rPr>
              <w:t>等校外科普活动，并纳入学校工作考核内容（</w:t>
            </w:r>
            <w:r>
              <w:rPr>
                <w:color w:val="000000"/>
                <w:kern w:val="0"/>
                <w:szCs w:val="21"/>
              </w:rPr>
              <w:t>5</w:t>
            </w:r>
            <w:r>
              <w:rPr>
                <w:rFonts w:hAnsi="宋体"/>
                <w:color w:val="000000"/>
                <w:kern w:val="0"/>
                <w:szCs w:val="21"/>
              </w:rPr>
              <w:t>分）。</w:t>
            </w:r>
          </w:p>
        </w:tc>
        <w:tc>
          <w:tcPr>
            <w:tcW w:w="1216" w:type="dxa"/>
            <w:noWrap w:val="0"/>
            <w:vAlign w:val="center"/>
          </w:tcPr>
          <w:p>
            <w:pPr>
              <w:widowControl/>
              <w:jc w:val="center"/>
              <w:rPr>
                <w:rFonts w:hint="eastAsia" w:ascii="宋体" w:hAnsi="宋体" w:cs="宋体"/>
                <w:color w:val="000000"/>
                <w:kern w:val="0"/>
                <w:szCs w:val="21"/>
              </w:rPr>
            </w:pPr>
          </w:p>
        </w:tc>
        <w:tc>
          <w:tcPr>
            <w:tcW w:w="1217" w:type="dxa"/>
            <w:noWrap w:val="0"/>
            <w:vAlign w:val="center"/>
          </w:tcPr>
          <w:p>
            <w:pPr>
              <w:widowControl/>
              <w:jc w:val="center"/>
              <w:rPr>
                <w:rFonts w:hint="eastAsia" w:ascii="宋体" w:hAnsi="宋体" w:cs="宋体"/>
                <w:color w:val="000000"/>
                <w:kern w:val="0"/>
                <w:szCs w:val="21"/>
              </w:rPr>
            </w:pPr>
          </w:p>
        </w:tc>
      </w:tr>
    </w:tbl>
    <w:p>
      <w:pPr>
        <w:spacing w:line="560" w:lineRule="exact"/>
        <w:rPr>
          <w:rFonts w:ascii="宋体" w:hAnsi="宋体"/>
          <w:bCs/>
          <w:szCs w:val="21"/>
        </w:rPr>
        <w:sectPr>
          <w:pgSz w:w="16838" w:h="11906" w:orient="landscape"/>
          <w:pgMar w:top="1418" w:right="1531" w:bottom="1531" w:left="1531" w:header="709" w:footer="1361" w:gutter="0"/>
          <w:cols w:space="720" w:num="1"/>
          <w:docGrid w:type="linesAndChars" w:linePitch="312" w:charSpace="0"/>
        </w:sectPr>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ZDA1ODU0ZDc2NDZiZmZkY2QxNzZiNmRjYzE2NWIifQ=="/>
  </w:docVars>
  <w:rsids>
    <w:rsidRoot w:val="00000000"/>
    <w:rsid w:val="06FA0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2022-05-23T09:10:14Z</dcterms:created>
  <dc:creator>26068</dc:creator>
  <cp:lastModifiedBy>以年</cp:lastModifiedBy>
  <dcterms:modified xsi:type="dcterms:W3CDTF">2022-05-23T09:10:32Z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80F205EB5D5C4138BB96ED44193FA9E1</vt:lpwstr>
  </property>
</Properties>
</file>