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ascii="黑体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附件2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2022年第二期TRIZ创新方法培训班日程表</w:t>
      </w:r>
    </w:p>
    <w:bookmarkEnd w:id="0"/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30"/>
        <w:gridCol w:w="3196"/>
        <w:gridCol w:w="1185"/>
        <w:gridCol w:w="1080"/>
        <w:gridCol w:w="11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日期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时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Ansi="黑体" w:eastAsia="黑体"/>
                <w:sz w:val="24"/>
              </w:rPr>
              <w:t>间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内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Ansi="黑体" w:eastAsia="黑体"/>
                <w:sz w:val="24"/>
              </w:rPr>
              <w:t>容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相关人员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主持人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7月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19日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周二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8:00-8:40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签到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全体人员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8:40-9:00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开班动员讲话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市科协、市总工会、市工商联领导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束为民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Ansi="黑体" w:eastAsia="黑体"/>
                <w:sz w:val="24"/>
              </w:rPr>
              <w:t>授课时间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Ansi="黑体" w:eastAsia="黑体"/>
                <w:sz w:val="24"/>
              </w:rPr>
              <w:t>授课内容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授课人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课件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sz w:val="24"/>
              </w:rPr>
              <w:t>学员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Ansi="黑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9:00-12:00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TRIZ概述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颜惠庚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L1-01</w:t>
            </w:r>
          </w:p>
        </w:tc>
        <w:tc>
          <w:tcPr>
            <w:tcW w:w="1131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P1-9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项目确定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VOC（补充5W1H）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L1-02</w:t>
            </w: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IFR-金鱼法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L2-01</w:t>
            </w: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13:30-17:00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IFR-STC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L2-01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P10-12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IFR-鱼骨图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L1-03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P13-15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IFR-5WHY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L1-03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P16-17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7月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20日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周三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8:30-12:00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IFR-头脑风暴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李  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CZIE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IFR-资源分析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L1-04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九宫格、技术进化法则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L1-05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L1-09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P23-32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13:30-17:00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矛盾分析、39个工程参数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仇志海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L1-06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P33-P36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7月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21日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周四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8:30-11:00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40个创新原理、矛盾矩阵表（39×39）和Matrix 2003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仇志海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L1-07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P33-P36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11:00-12:00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48×48矛盾矩阵表与41-77发明原理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李  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L2-07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szCs w:val="21"/>
              </w:rPr>
              <w:t>P37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13:30-16:00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功能属性分析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颜惠庚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L2-05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P38-42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16:00-17:00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方案的归类、评价与筛选（努力影响矩阵、平衡记分卡）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李  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L2-07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7月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22日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周五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8:30-10:00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国际TRIZ学会一级认证考试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全体学员、颜惠庚、李弘、仇志海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-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10:00-11:45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学员学习成果汇报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全体人员</w:t>
            </w:r>
          </w:p>
        </w:tc>
        <w:tc>
          <w:tcPr>
            <w:tcW w:w="1131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束为民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11:45-11:55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培训总结讲话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市科协、市总工会、市工商联领导</w:t>
            </w: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11:55-12:00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合影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全体人员</w:t>
            </w:r>
          </w:p>
        </w:tc>
        <w:tc>
          <w:tcPr>
            <w:tcW w:w="1131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sz w:val="24"/>
                <w:lang w:bidi="ar"/>
              </w:rPr>
            </w:pPr>
          </w:p>
        </w:tc>
      </w:tr>
    </w:tbl>
    <w:p>
      <w:pPr>
        <w:adjustRightInd w:val="0"/>
        <w:snapToGrid w:val="0"/>
        <w:spacing w:line="57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ascii="黑体" w:hAnsi="黑体" w:eastAsia="黑体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709" w:footer="1361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1604" w:hRule="exact" w:wrap="around" w:vAnchor="text" w:hAnchor="margin" w:xAlign="outside" w:y="25"/>
      <w:ind w:right="308" w:firstLine="28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E476C"/>
    <w:rsid w:val="146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2022-07-11T08:44:00Z</dcterms:created>
  <dc:creator>13031</dc:creator>
  <cp:lastModifiedBy>13031</cp:lastModifiedBy>
  <dcterms:modified xsi:type="dcterms:W3CDTF">2022-07-11T08:45:07Z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80D81B88EDF74E33A20AED3AE12A31FF</vt:lpwstr>
  </property>
</Properties>
</file>