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3808EE">
      <w:pPr>
        <w:widowControl/>
        <w:spacing w:line="500" w:lineRule="exact"/>
        <w:jc w:val="left"/>
        <w:rPr>
          <w:rFonts w:hint="eastAsia"/>
          <w:color w:val="000000"/>
          <w:kern w:val="0"/>
          <w:sz w:val="32"/>
          <w:szCs w:val="32"/>
          <w:lang w:bidi="ar"/>
        </w:rPr>
      </w:pPr>
      <w:r>
        <w:rPr>
          <w:rFonts w:ascii="黑体" w:hAnsi="宋体" w:eastAsia="黑体" w:cs="黑体"/>
          <w:color w:val="000000"/>
          <w:kern w:val="0"/>
          <w:sz w:val="32"/>
          <w:szCs w:val="32"/>
          <w:lang w:bidi="ar"/>
        </w:rPr>
        <w:t>附件</w:t>
      </w:r>
      <w:r>
        <w:rPr>
          <w:color w:val="000000"/>
          <w:kern w:val="0"/>
          <w:sz w:val="32"/>
          <w:szCs w:val="32"/>
          <w:lang w:bidi="ar"/>
        </w:rPr>
        <w:t>3</w:t>
      </w:r>
    </w:p>
    <w:p w14:paraId="5D2420D6">
      <w:pPr>
        <w:widowControl/>
        <w:spacing w:line="500" w:lineRule="exact"/>
        <w:jc w:val="left"/>
        <w:rPr>
          <w:color w:val="000000"/>
          <w:kern w:val="0"/>
          <w:sz w:val="32"/>
          <w:szCs w:val="32"/>
          <w:lang w:bidi="ar"/>
        </w:rPr>
      </w:pPr>
    </w:p>
    <w:p w14:paraId="4E754B9F">
      <w:pPr>
        <w:spacing w:line="560" w:lineRule="exact"/>
        <w:jc w:val="center"/>
        <w:rPr>
          <w:rFonts w:hint="eastAsia" w:ascii="方正小标宋简体" w:eastAsia="方正小标宋简体"/>
          <w:color w:val="000000"/>
          <w:sz w:val="44"/>
          <w:szCs w:val="44"/>
        </w:rPr>
      </w:pPr>
      <w:bookmarkStart w:id="42" w:name="_GoBack"/>
      <w:r>
        <w:rPr>
          <w:rFonts w:hint="eastAsia" w:ascii="方正小标宋简体" w:eastAsia="方正小标宋简体"/>
          <w:color w:val="000000"/>
          <w:sz w:val="44"/>
          <w:szCs w:val="44"/>
        </w:rPr>
        <w:t>人工智能主题挑战赛参赛规则</w:t>
      </w:r>
      <w:bookmarkEnd w:id="42"/>
    </w:p>
    <w:p w14:paraId="08D70807">
      <w:pPr>
        <w:spacing w:line="560" w:lineRule="exact"/>
        <w:jc w:val="center"/>
        <w:rPr>
          <w:rFonts w:hint="eastAsia" w:ascii="方正小标宋简体" w:eastAsia="方正小标宋简体"/>
          <w:color w:val="000000"/>
          <w:sz w:val="44"/>
          <w:szCs w:val="44"/>
        </w:rPr>
      </w:pPr>
    </w:p>
    <w:p w14:paraId="7A20E141">
      <w:pPr>
        <w:adjustRightInd w:val="0"/>
        <w:snapToGrid w:val="0"/>
        <w:spacing w:line="560" w:lineRule="exact"/>
        <w:ind w:firstLine="640" w:firstLineChars="200"/>
        <w:rPr>
          <w:rFonts w:eastAsia="仿宋_GB2312"/>
          <w:b/>
          <w:kern w:val="0"/>
          <w:sz w:val="32"/>
          <w:szCs w:val="32"/>
          <w:lang w:bidi="zh-CN"/>
        </w:rPr>
      </w:pPr>
      <w:r>
        <w:rPr>
          <w:rFonts w:eastAsia="仿宋_GB2312"/>
          <w:b/>
          <w:kern w:val="0"/>
          <w:sz w:val="32"/>
          <w:szCs w:val="32"/>
          <w:lang w:bidi="zh-CN"/>
        </w:rPr>
        <w:t>A类：南海遗珍</w:t>
      </w:r>
    </w:p>
    <w:p w14:paraId="539CC2EE">
      <w:pPr>
        <w:adjustRightInd w:val="0"/>
        <w:snapToGrid w:val="0"/>
        <w:spacing w:line="560" w:lineRule="exact"/>
        <w:ind w:firstLine="640" w:firstLineChars="200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赛事背景</w:t>
      </w:r>
    </w:p>
    <w:p w14:paraId="1F4BF1F9">
      <w:pPr>
        <w:adjustRightInd w:val="0"/>
        <w:snapToGrid w:val="0"/>
        <w:spacing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南海自古就是我国海上丝绸之路的交通要道。这片海域见证了几千年海外贸易的繁荣，也吞噬了无数的奇珍异宝，近年来，随着我国国力提升，科技不断发展，国家对水下文物的保护越发重视。其中“南海一号”是迄今为止世界上发现的海上沉船中年代最早、船体最大、保存最完整的远洋贸易商船。</w:t>
      </w:r>
    </w:p>
    <w:p w14:paraId="3CCAB52B">
      <w:pPr>
        <w:adjustRightInd w:val="0"/>
        <w:snapToGrid w:val="0"/>
        <w:spacing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本次比赛围绕南海，比赛主题为“南海遗珍”。通过南海遗珍赛项让大家了解南海海域和南海诸岛的历史。</w:t>
      </w:r>
    </w:p>
    <w:p w14:paraId="37FE6288">
      <w:pPr>
        <w:widowControl/>
        <w:adjustRightInd w:val="0"/>
        <w:snapToGrid w:val="0"/>
        <w:spacing w:line="560" w:lineRule="exact"/>
        <w:ind w:firstLine="640" w:firstLineChars="200"/>
        <w:rPr>
          <w:rFonts w:hint="eastAsia" w:ascii="楷体_GB2312" w:eastAsia="楷体_GB2312"/>
          <w:sz w:val="32"/>
          <w:szCs w:val="32"/>
        </w:rPr>
      </w:pPr>
      <w:r>
        <w:rPr>
          <w:rFonts w:hint="eastAsia" w:ascii="楷体_GB2312" w:hAnsi="仿宋_GB2312" w:eastAsia="楷体_GB2312"/>
          <w:b/>
          <w:bCs/>
          <w:color w:val="000000"/>
          <w:kern w:val="0"/>
          <w:sz w:val="32"/>
          <w:szCs w:val="32"/>
          <w:lang w:bidi="ar"/>
        </w:rPr>
        <w:t>赛项一：</w:t>
      </w:r>
      <w:r>
        <w:rPr>
          <w:rFonts w:hint="eastAsia" w:ascii="楷体_GB2312" w:eastAsia="楷体_GB2312"/>
          <w:b/>
          <w:bCs/>
          <w:color w:val="000000"/>
          <w:kern w:val="0"/>
          <w:sz w:val="32"/>
          <w:szCs w:val="32"/>
          <w:lang w:bidi="ar"/>
        </w:rPr>
        <w:t>“</w:t>
      </w:r>
      <w:r>
        <w:rPr>
          <w:rFonts w:hint="eastAsia" w:ascii="楷体_GB2312" w:eastAsia="楷体_GB2312"/>
          <w:b/>
          <w:bCs/>
          <w:color w:val="000000"/>
          <w:sz w:val="32"/>
          <w:szCs w:val="32"/>
        </w:rPr>
        <w:t>搜寻南海遗珍</w:t>
      </w:r>
      <w:r>
        <w:rPr>
          <w:rFonts w:hint="eastAsia" w:ascii="楷体_GB2312" w:eastAsia="楷体_GB2312"/>
          <w:b/>
          <w:bCs/>
          <w:color w:val="000000"/>
          <w:kern w:val="0"/>
          <w:sz w:val="32"/>
          <w:szCs w:val="32"/>
          <w:lang w:bidi="ar"/>
        </w:rPr>
        <w:t>”</w:t>
      </w:r>
    </w:p>
    <w:p w14:paraId="692F0586">
      <w:pPr>
        <w:widowControl/>
        <w:adjustRightInd w:val="0"/>
        <w:snapToGrid w:val="0"/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Ansi="仿宋_GB2312" w:eastAsia="仿宋_GB2312"/>
          <w:color w:val="000000"/>
          <w:kern w:val="0"/>
          <w:sz w:val="32"/>
          <w:szCs w:val="32"/>
          <w:lang w:bidi="ar"/>
        </w:rPr>
        <w:t>参加对象：小学</w:t>
      </w:r>
      <w:r>
        <w:rPr>
          <w:rFonts w:eastAsia="仿宋_GB2312"/>
          <w:color w:val="000000"/>
          <w:kern w:val="0"/>
          <w:sz w:val="32"/>
          <w:szCs w:val="32"/>
          <w:lang w:bidi="ar"/>
        </w:rPr>
        <w:t>1~2</w:t>
      </w:r>
      <w:r>
        <w:rPr>
          <w:rFonts w:hAnsi="仿宋_GB2312" w:eastAsia="仿宋_GB2312"/>
          <w:color w:val="000000"/>
          <w:kern w:val="0"/>
          <w:sz w:val="32"/>
          <w:szCs w:val="32"/>
          <w:lang w:bidi="ar"/>
        </w:rPr>
        <w:t>年级，必须两位学生组队参赛（缺员视为弃赛），每校最多申报</w:t>
      </w:r>
      <w:r>
        <w:rPr>
          <w:rFonts w:eastAsia="仿宋_GB2312"/>
          <w:color w:val="000000"/>
          <w:kern w:val="0"/>
          <w:sz w:val="32"/>
          <w:szCs w:val="32"/>
          <w:lang w:bidi="ar"/>
        </w:rPr>
        <w:t>3</w:t>
      </w:r>
      <w:r>
        <w:rPr>
          <w:rFonts w:hAnsi="仿宋_GB2312" w:eastAsia="仿宋_GB2312"/>
          <w:color w:val="000000"/>
          <w:kern w:val="0"/>
          <w:sz w:val="32"/>
          <w:szCs w:val="32"/>
          <w:lang w:bidi="ar"/>
        </w:rPr>
        <w:t>支队伍，有区赛区域</w:t>
      </w:r>
      <w:r>
        <w:rPr>
          <w:rFonts w:eastAsia="仿宋_GB2312"/>
          <w:color w:val="000000"/>
          <w:sz w:val="32"/>
          <w:szCs w:val="32"/>
        </w:rPr>
        <w:t>名额由区组委会控制数量</w:t>
      </w:r>
      <w:r>
        <w:rPr>
          <w:rFonts w:hAnsi="仿宋_GB2312" w:eastAsia="仿宋_GB2312"/>
          <w:color w:val="000000"/>
          <w:kern w:val="0"/>
          <w:sz w:val="32"/>
          <w:szCs w:val="32"/>
          <w:lang w:bidi="ar"/>
        </w:rPr>
        <w:t>。</w:t>
      </w:r>
    </w:p>
    <w:p w14:paraId="17AAC7CB">
      <w:pPr>
        <w:widowControl/>
        <w:adjustRightInd w:val="0"/>
        <w:snapToGrid w:val="0"/>
        <w:spacing w:line="560" w:lineRule="exact"/>
        <w:ind w:firstLine="640" w:firstLineChars="200"/>
        <w:rPr>
          <w:rFonts w:hint="eastAsia" w:ascii="楷体_GB2312" w:eastAsia="楷体_GB2312"/>
          <w:sz w:val="32"/>
          <w:szCs w:val="32"/>
        </w:rPr>
      </w:pPr>
      <w:r>
        <w:rPr>
          <w:rFonts w:hint="eastAsia" w:ascii="楷体_GB2312" w:hAnsi="仿宋_GB2312" w:eastAsia="楷体_GB2312"/>
          <w:b/>
          <w:bCs/>
          <w:color w:val="000000"/>
          <w:kern w:val="0"/>
          <w:sz w:val="32"/>
          <w:szCs w:val="32"/>
          <w:lang w:bidi="ar"/>
        </w:rPr>
        <w:t>赛项二：</w:t>
      </w:r>
      <w:r>
        <w:rPr>
          <w:rFonts w:hint="eastAsia" w:ascii="楷体_GB2312" w:eastAsia="楷体_GB2312"/>
          <w:b/>
          <w:bCs/>
          <w:color w:val="000000"/>
          <w:kern w:val="0"/>
          <w:sz w:val="32"/>
          <w:szCs w:val="32"/>
          <w:lang w:bidi="ar"/>
        </w:rPr>
        <w:t xml:space="preserve">“探寻海丝遗珍” </w:t>
      </w:r>
    </w:p>
    <w:p w14:paraId="11D25FAA">
      <w:pPr>
        <w:widowControl/>
        <w:adjustRightInd w:val="0"/>
        <w:snapToGrid w:val="0"/>
        <w:spacing w:line="560" w:lineRule="exact"/>
        <w:ind w:firstLine="640" w:firstLineChars="200"/>
        <w:rPr>
          <w:rFonts w:eastAsia="仿宋_GB2312"/>
          <w:color w:val="000000"/>
          <w:kern w:val="0"/>
          <w:sz w:val="32"/>
          <w:szCs w:val="32"/>
          <w:lang w:bidi="ar"/>
        </w:rPr>
      </w:pPr>
      <w:r>
        <w:rPr>
          <w:rFonts w:hAnsi="仿宋_GB2312" w:eastAsia="仿宋_GB2312"/>
          <w:color w:val="000000"/>
          <w:kern w:val="0"/>
          <w:sz w:val="32"/>
          <w:szCs w:val="32"/>
          <w:lang w:bidi="ar"/>
        </w:rPr>
        <w:t>参加对象：小学高年级及初中组（</w:t>
      </w:r>
      <w:r>
        <w:rPr>
          <w:rFonts w:eastAsia="仿宋_GB2312"/>
          <w:color w:val="000000"/>
          <w:kern w:val="0"/>
          <w:sz w:val="32"/>
          <w:szCs w:val="32"/>
          <w:lang w:bidi="ar"/>
        </w:rPr>
        <w:t>3~9</w:t>
      </w:r>
      <w:r>
        <w:rPr>
          <w:rFonts w:hAnsi="仿宋_GB2312" w:eastAsia="仿宋_GB2312"/>
          <w:color w:val="000000"/>
          <w:kern w:val="0"/>
          <w:sz w:val="32"/>
          <w:szCs w:val="32"/>
          <w:lang w:bidi="ar"/>
        </w:rPr>
        <w:t>年级）必须两位学生组队参赛（缺员视为弃赛），每校最多申报</w:t>
      </w:r>
      <w:r>
        <w:rPr>
          <w:rFonts w:eastAsia="仿宋_GB2312"/>
          <w:color w:val="000000"/>
          <w:kern w:val="0"/>
          <w:sz w:val="32"/>
          <w:szCs w:val="32"/>
          <w:lang w:bidi="ar"/>
        </w:rPr>
        <w:t>3</w:t>
      </w:r>
      <w:r>
        <w:rPr>
          <w:rFonts w:hAnsi="仿宋_GB2312" w:eastAsia="仿宋_GB2312"/>
          <w:color w:val="000000"/>
          <w:kern w:val="0"/>
          <w:sz w:val="32"/>
          <w:szCs w:val="32"/>
          <w:lang w:bidi="ar"/>
        </w:rPr>
        <w:t>支队伍，有区赛区域</w:t>
      </w:r>
      <w:r>
        <w:rPr>
          <w:rFonts w:eastAsia="仿宋_GB2312"/>
          <w:color w:val="000000"/>
          <w:sz w:val="32"/>
          <w:szCs w:val="32"/>
        </w:rPr>
        <w:t>名额由区组委会控制数量</w:t>
      </w:r>
      <w:r>
        <w:rPr>
          <w:rFonts w:hAnsi="仿宋_GB2312" w:eastAsia="仿宋_GB2312"/>
          <w:color w:val="000000"/>
          <w:kern w:val="0"/>
          <w:sz w:val="32"/>
          <w:szCs w:val="32"/>
          <w:lang w:bidi="ar"/>
        </w:rPr>
        <w:t>。</w:t>
      </w:r>
    </w:p>
    <w:p w14:paraId="4F357FA1">
      <w:pPr>
        <w:widowControl/>
        <w:adjustRightInd w:val="0"/>
        <w:snapToGrid w:val="0"/>
        <w:spacing w:line="560" w:lineRule="exact"/>
        <w:ind w:firstLine="640" w:firstLineChars="200"/>
        <w:rPr>
          <w:rFonts w:eastAsia="仿宋_GB2312"/>
          <w:color w:val="000000"/>
          <w:kern w:val="0"/>
          <w:sz w:val="32"/>
          <w:szCs w:val="32"/>
          <w:lang w:bidi="ar"/>
        </w:rPr>
      </w:pPr>
    </w:p>
    <w:p w14:paraId="39BEDA81">
      <w:pPr>
        <w:widowControl/>
        <w:adjustRightInd w:val="0"/>
        <w:snapToGrid w:val="0"/>
        <w:spacing w:line="560" w:lineRule="exact"/>
        <w:ind w:firstLine="640" w:firstLineChars="200"/>
        <w:rPr>
          <w:rFonts w:hint="eastAsia" w:ascii="楷体_GB2312" w:eastAsia="楷体_GB2312"/>
          <w:sz w:val="32"/>
          <w:szCs w:val="32"/>
        </w:rPr>
      </w:pPr>
      <w:r>
        <w:rPr>
          <w:rFonts w:hint="eastAsia" w:ascii="楷体_GB2312" w:hAnsi="仿宋_GB2312" w:eastAsia="楷体_GB2312"/>
          <w:b/>
          <w:bCs/>
          <w:color w:val="000000"/>
          <w:kern w:val="0"/>
          <w:sz w:val="32"/>
          <w:szCs w:val="32"/>
          <w:lang w:bidi="ar"/>
        </w:rPr>
        <w:t>赛项一：</w:t>
      </w:r>
      <w:r>
        <w:rPr>
          <w:rFonts w:hint="eastAsia" w:ascii="楷体_GB2312" w:eastAsia="楷体_GB2312"/>
          <w:b/>
          <w:bCs/>
          <w:color w:val="000000"/>
          <w:kern w:val="0"/>
          <w:sz w:val="32"/>
          <w:szCs w:val="32"/>
          <w:lang w:bidi="ar"/>
        </w:rPr>
        <w:t>“</w:t>
      </w:r>
      <w:r>
        <w:rPr>
          <w:rFonts w:hint="eastAsia" w:ascii="楷体_GB2312" w:eastAsia="楷体_GB2312"/>
          <w:b/>
          <w:bCs/>
          <w:color w:val="000000"/>
          <w:sz w:val="32"/>
          <w:szCs w:val="32"/>
        </w:rPr>
        <w:t>搜寻南海遗珍</w:t>
      </w:r>
      <w:r>
        <w:rPr>
          <w:rFonts w:hint="eastAsia" w:ascii="楷体_GB2312" w:eastAsia="楷体_GB2312"/>
          <w:b/>
          <w:bCs/>
          <w:color w:val="000000"/>
          <w:kern w:val="0"/>
          <w:sz w:val="32"/>
          <w:szCs w:val="32"/>
          <w:lang w:bidi="ar"/>
        </w:rPr>
        <w:t>”</w:t>
      </w:r>
    </w:p>
    <w:p w14:paraId="4A96A1D4">
      <w:pPr>
        <w:numPr>
          <w:ilvl w:val="0"/>
          <w:numId w:val="1"/>
        </w:numPr>
        <w:adjustRightInd w:val="0"/>
        <w:snapToGrid w:val="0"/>
        <w:spacing w:line="560" w:lineRule="exact"/>
        <w:ind w:firstLine="640" w:firstLineChars="200"/>
        <w:rPr>
          <w:rFonts w:ascii="黑体" w:hAnsi="黑体" w:eastAsia="黑体"/>
          <w:bCs/>
          <w:color w:val="000000"/>
          <w:sz w:val="32"/>
          <w:szCs w:val="32"/>
        </w:rPr>
      </w:pPr>
      <w:r>
        <w:rPr>
          <w:rFonts w:ascii="黑体" w:hAnsi="黑体" w:eastAsia="黑体"/>
          <w:bCs/>
          <w:color w:val="000000"/>
          <w:sz w:val="32"/>
          <w:szCs w:val="32"/>
        </w:rPr>
        <w:t>场地介绍</w:t>
      </w:r>
    </w:p>
    <w:p w14:paraId="00B1ED0C">
      <w:pPr>
        <w:adjustRightInd w:val="0"/>
        <w:snapToGrid w:val="0"/>
        <w:spacing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本次赛道图纸为长方形，尺寸为1.5m*1.8m,图上分为：出发区，打捞区，停留区，文物照片摆放区，赛道图纸如下：</w:t>
      </w:r>
    </w:p>
    <w:p w14:paraId="023773B1">
      <w:pPr>
        <w:ind w:firstLine="48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drawing>
          <wp:inline distT="0" distB="0" distL="114300" distR="114300">
            <wp:extent cx="5269865" cy="6022975"/>
            <wp:effectExtent l="0" t="0" r="6985" b="15875"/>
            <wp:docPr id="13" name="图片 1" descr="870c1bacf73e952097699d6051db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870c1bacf73e952097699d6051db3c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B934C">
      <w:pPr>
        <w:spacing w:line="360" w:lineRule="auto"/>
        <w:ind w:left="420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 w:cs="仿宋"/>
          <w:bCs/>
          <w:color w:val="000000"/>
          <w:sz w:val="32"/>
          <w:szCs w:val="32"/>
        </w:rPr>
        <w:t>二、比赛任务</w:t>
      </w:r>
    </w:p>
    <w:p w14:paraId="1B677302">
      <w:pPr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在规定时间内完成无屏编程智能搜索船的搭建；</w:t>
      </w:r>
    </w:p>
    <w:p w14:paraId="51A6F4E7">
      <w:pPr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在规定时间内完成无屏编程智能搜索船的程序调试；</w:t>
      </w:r>
    </w:p>
    <w:p w14:paraId="119CB977">
      <w:pPr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3.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在规定时间内完成无屏编程智能搜索船打捞任务；</w:t>
      </w:r>
    </w:p>
    <w:p w14:paraId="78739C9F">
      <w:pPr>
        <w:snapToGrid w:val="0"/>
        <w:spacing w:line="570" w:lineRule="exact"/>
        <w:ind w:firstLine="640" w:firstLineChars="200"/>
        <w:rPr>
          <w:rFonts w:ascii="黑体" w:hAnsi="黑体" w:eastAsia="黑体"/>
          <w:bCs/>
          <w:color w:val="000000"/>
          <w:sz w:val="32"/>
          <w:szCs w:val="32"/>
        </w:rPr>
      </w:pPr>
      <w:r>
        <w:rPr>
          <w:rFonts w:ascii="黑体" w:hAnsi="黑体" w:eastAsia="黑体"/>
          <w:bCs/>
          <w:color w:val="000000"/>
          <w:sz w:val="32"/>
          <w:szCs w:val="32"/>
        </w:rPr>
        <w:t>三、比赛规则</w:t>
      </w:r>
    </w:p>
    <w:p w14:paraId="41C84F5F">
      <w:pPr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bookmarkStart w:id="0" w:name="_Toc256000031"/>
      <w:r>
        <w:rPr>
          <w:rFonts w:eastAsia="仿宋_GB2312"/>
          <w:b/>
          <w:color w:val="000000"/>
          <w:sz w:val="32"/>
          <w:szCs w:val="32"/>
        </w:rPr>
        <w:t>1</w:t>
      </w:r>
      <w:r>
        <w:rPr>
          <w:rFonts w:hint="eastAsia" w:eastAsia="仿宋_GB2312"/>
          <w:b/>
          <w:color w:val="000000"/>
          <w:sz w:val="32"/>
          <w:szCs w:val="32"/>
        </w:rPr>
        <w:t xml:space="preserve">. </w:t>
      </w:r>
      <w:r>
        <w:rPr>
          <w:rFonts w:eastAsia="仿宋_GB2312"/>
          <w:b/>
          <w:color w:val="000000"/>
          <w:sz w:val="32"/>
          <w:szCs w:val="32"/>
        </w:rPr>
        <w:t>参赛人员</w:t>
      </w:r>
      <w:r>
        <w:rPr>
          <w:rFonts w:eastAsia="仿宋_GB2312"/>
          <w:color w:val="000000"/>
          <w:sz w:val="32"/>
          <w:szCs w:val="32"/>
        </w:rPr>
        <w:t>：每支队伍有2名成员，2艘搜索船，参赛用搜索船在比赛现场完成搭建及调试。</w:t>
      </w:r>
    </w:p>
    <w:p w14:paraId="44E265D6">
      <w:pPr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2</w:t>
      </w:r>
      <w:r>
        <w:rPr>
          <w:rFonts w:hint="eastAsia" w:eastAsia="仿宋_GB2312"/>
          <w:b/>
          <w:color w:val="000000"/>
          <w:sz w:val="32"/>
          <w:szCs w:val="32"/>
        </w:rPr>
        <w:t xml:space="preserve">. </w:t>
      </w:r>
      <w:r>
        <w:rPr>
          <w:rFonts w:eastAsia="仿宋_GB2312"/>
          <w:b/>
          <w:color w:val="000000"/>
          <w:sz w:val="32"/>
          <w:szCs w:val="32"/>
        </w:rPr>
        <w:t>拼搭时间</w:t>
      </w:r>
      <w:r>
        <w:rPr>
          <w:rFonts w:eastAsia="仿宋_GB2312"/>
          <w:color w:val="000000"/>
          <w:sz w:val="32"/>
          <w:szCs w:val="32"/>
        </w:rPr>
        <w:t>：每支队伍拼搭搜索船的时间为30分钟，听到裁判宣布开始的口令后方可开始动手操作，规定时间到后立即停止动作，否则视为违规。</w:t>
      </w:r>
    </w:p>
    <w:p w14:paraId="75D4E719">
      <w:pPr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3</w:t>
      </w:r>
      <w:r>
        <w:rPr>
          <w:rFonts w:hint="eastAsia" w:eastAsia="仿宋_GB2312"/>
          <w:b/>
          <w:color w:val="000000"/>
          <w:sz w:val="32"/>
          <w:szCs w:val="32"/>
        </w:rPr>
        <w:t>.</w:t>
      </w:r>
      <w:r>
        <w:rPr>
          <w:rFonts w:eastAsia="仿宋_GB2312"/>
          <w:b/>
          <w:color w:val="000000"/>
          <w:sz w:val="32"/>
          <w:szCs w:val="32"/>
        </w:rPr>
        <w:t xml:space="preserve"> 调试时间</w:t>
      </w:r>
      <w:r>
        <w:rPr>
          <w:rFonts w:eastAsia="仿宋_GB2312"/>
          <w:color w:val="000000"/>
          <w:sz w:val="32"/>
          <w:szCs w:val="32"/>
        </w:rPr>
        <w:t>：每支参赛队赛前有两次调试机会，一次为5分钟，各参赛队需合理安排时间进行程序调试及场地适应性测试。</w:t>
      </w:r>
    </w:p>
    <w:p w14:paraId="3930844C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4</w:t>
      </w:r>
      <w:r>
        <w:rPr>
          <w:rFonts w:hint="eastAsia" w:eastAsia="仿宋_GB2312"/>
          <w:b/>
          <w:color w:val="000000"/>
          <w:sz w:val="32"/>
          <w:szCs w:val="32"/>
        </w:rPr>
        <w:t xml:space="preserve">. </w:t>
      </w:r>
      <w:r>
        <w:rPr>
          <w:rFonts w:eastAsia="仿宋_GB2312"/>
          <w:b/>
          <w:color w:val="000000"/>
          <w:sz w:val="32"/>
          <w:szCs w:val="32"/>
        </w:rPr>
        <w:t>驾驶员身份准入确认</w:t>
      </w:r>
      <w:r>
        <w:rPr>
          <w:rFonts w:eastAsia="仿宋_GB2312"/>
          <w:color w:val="000000"/>
          <w:sz w:val="32"/>
          <w:szCs w:val="32"/>
        </w:rPr>
        <w:t>：每队只允许一名队员进行打捞船作业，进入场地打捞船启动前，需进行驾驶员身份确认，身份识别平台绿灯亮起后方可进行打捞船操作；</w:t>
      </w:r>
    </w:p>
    <w:p w14:paraId="4D2281C6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5</w:t>
      </w:r>
      <w:r>
        <w:rPr>
          <w:rFonts w:hint="eastAsia" w:eastAsia="仿宋_GB2312"/>
          <w:b/>
          <w:color w:val="000000"/>
          <w:sz w:val="32"/>
          <w:szCs w:val="32"/>
        </w:rPr>
        <w:t xml:space="preserve">. </w:t>
      </w:r>
      <w:r>
        <w:rPr>
          <w:rFonts w:eastAsia="仿宋_GB2312"/>
          <w:b/>
          <w:color w:val="000000"/>
          <w:sz w:val="32"/>
          <w:szCs w:val="32"/>
        </w:rPr>
        <w:t>搜寻打捞时间</w:t>
      </w:r>
      <w:r>
        <w:rPr>
          <w:rFonts w:eastAsia="仿宋_GB2312"/>
          <w:color w:val="000000"/>
          <w:sz w:val="32"/>
          <w:szCs w:val="32"/>
        </w:rPr>
        <w:t>：无屏编程智能搜索船需要在2分钟内完成搜寻打捞任务，超出时间，不计分数。</w:t>
      </w:r>
    </w:p>
    <w:p w14:paraId="65F487C0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bookmarkStart w:id="1" w:name="_Toc256000016"/>
      <w:r>
        <w:rPr>
          <w:rFonts w:eastAsia="仿宋_GB2312"/>
          <w:b/>
          <w:color w:val="000000"/>
          <w:sz w:val="32"/>
          <w:szCs w:val="32"/>
        </w:rPr>
        <w:t>6</w:t>
      </w:r>
      <w:r>
        <w:rPr>
          <w:rFonts w:hint="eastAsia" w:eastAsia="仿宋_GB2312"/>
          <w:b/>
          <w:color w:val="000000"/>
          <w:sz w:val="32"/>
          <w:szCs w:val="32"/>
        </w:rPr>
        <w:t>.</w:t>
      </w:r>
      <w:r>
        <w:rPr>
          <w:rFonts w:eastAsia="仿宋_GB2312"/>
          <w:b/>
          <w:color w:val="000000"/>
          <w:sz w:val="32"/>
          <w:szCs w:val="32"/>
        </w:rPr>
        <w:t xml:space="preserve"> 时间限制</w:t>
      </w:r>
      <w:r>
        <w:rPr>
          <w:rFonts w:eastAsia="仿宋_GB2312"/>
          <w:color w:val="000000"/>
          <w:sz w:val="32"/>
          <w:szCs w:val="32"/>
        </w:rPr>
        <w:t>：每项比赛都有时间限制，比赛开始后，进行倒计时。当时间结束时，比赛立即停止。裁判有权强行结束比赛。</w:t>
      </w:r>
      <w:bookmarkEnd w:id="1"/>
      <w:bookmarkStart w:id="2" w:name="_Toc256000017"/>
    </w:p>
    <w:p w14:paraId="560C3AF8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7</w:t>
      </w:r>
      <w:r>
        <w:rPr>
          <w:rFonts w:hint="eastAsia" w:eastAsia="仿宋_GB2312"/>
          <w:b/>
          <w:color w:val="000000"/>
          <w:sz w:val="32"/>
          <w:szCs w:val="32"/>
        </w:rPr>
        <w:t>.</w:t>
      </w:r>
      <w:r>
        <w:rPr>
          <w:rFonts w:eastAsia="仿宋_GB2312"/>
          <w:b/>
          <w:color w:val="000000"/>
          <w:sz w:val="32"/>
          <w:szCs w:val="32"/>
        </w:rPr>
        <w:t xml:space="preserve"> 比赛轮次</w:t>
      </w:r>
      <w:r>
        <w:rPr>
          <w:rFonts w:eastAsia="仿宋_GB2312"/>
          <w:color w:val="000000"/>
          <w:sz w:val="32"/>
          <w:szCs w:val="32"/>
        </w:rPr>
        <w:t>：每支参赛队有连续两轮比赛机会，两轮结束，取两次成绩中最高分为最后比赛成绩。</w:t>
      </w:r>
    </w:p>
    <w:bookmarkEnd w:id="2"/>
    <w:p w14:paraId="04D6C28D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bookmarkStart w:id="3" w:name="_Toc256000018"/>
      <w:r>
        <w:rPr>
          <w:rFonts w:eastAsia="仿宋_GB2312"/>
          <w:b/>
          <w:color w:val="000000"/>
          <w:sz w:val="32"/>
          <w:szCs w:val="32"/>
        </w:rPr>
        <w:t>8</w:t>
      </w:r>
      <w:r>
        <w:rPr>
          <w:rFonts w:hint="eastAsia" w:eastAsia="仿宋_GB2312"/>
          <w:b/>
          <w:color w:val="000000"/>
          <w:sz w:val="32"/>
          <w:szCs w:val="32"/>
        </w:rPr>
        <w:t>.</w:t>
      </w:r>
      <w:r>
        <w:rPr>
          <w:rFonts w:eastAsia="仿宋_GB2312"/>
          <w:b/>
          <w:color w:val="000000"/>
          <w:sz w:val="32"/>
          <w:szCs w:val="32"/>
        </w:rPr>
        <w:t xml:space="preserve"> 禁止事项</w:t>
      </w:r>
      <w:r>
        <w:rPr>
          <w:rFonts w:eastAsia="仿宋_GB2312"/>
          <w:color w:val="000000"/>
          <w:sz w:val="32"/>
          <w:szCs w:val="32"/>
        </w:rPr>
        <w:t>：禁止比赛中恶意损坏场地围挡及场上道具。如果有违规者，裁判有权强行停止无屏编程智能搜索船，并取消本次比赛资格。</w:t>
      </w:r>
      <w:bookmarkEnd w:id="3"/>
    </w:p>
    <w:p w14:paraId="03F2BE1E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bookmarkStart w:id="4" w:name="______________________________________"/>
      <w:bookmarkEnd w:id="4"/>
      <w:bookmarkStart w:id="5" w:name="_Toc256000020"/>
      <w:r>
        <w:rPr>
          <w:rFonts w:eastAsia="仿宋_GB2312"/>
          <w:b/>
          <w:color w:val="000000"/>
          <w:sz w:val="32"/>
          <w:szCs w:val="32"/>
        </w:rPr>
        <w:t>9</w:t>
      </w:r>
      <w:r>
        <w:rPr>
          <w:rFonts w:hint="eastAsia" w:eastAsia="仿宋_GB2312"/>
          <w:b/>
          <w:color w:val="000000"/>
          <w:sz w:val="32"/>
          <w:szCs w:val="32"/>
        </w:rPr>
        <w:t>.</w:t>
      </w:r>
      <w:r>
        <w:rPr>
          <w:rFonts w:eastAsia="仿宋_GB2312"/>
          <w:b/>
          <w:color w:val="000000"/>
          <w:sz w:val="32"/>
          <w:szCs w:val="32"/>
        </w:rPr>
        <w:t xml:space="preserve"> 掉落场外的道具</w:t>
      </w:r>
      <w:r>
        <w:rPr>
          <w:rFonts w:eastAsia="仿宋_GB2312"/>
          <w:color w:val="000000"/>
          <w:sz w:val="32"/>
          <w:szCs w:val="32"/>
        </w:rPr>
        <w:t>：比赛中，如果比赛道具不慎掉落，不得重新被放置。</w:t>
      </w:r>
      <w:bookmarkEnd w:id="5"/>
    </w:p>
    <w:bookmarkEnd w:id="0"/>
    <w:p w14:paraId="2CF2D252">
      <w:pPr>
        <w:snapToGrid w:val="0"/>
        <w:spacing w:line="570" w:lineRule="exact"/>
        <w:ind w:firstLine="640" w:firstLineChars="200"/>
        <w:rPr>
          <w:rFonts w:ascii="黑体" w:hAnsi="黑体" w:eastAsia="黑体"/>
          <w:bCs/>
          <w:color w:val="000000"/>
          <w:sz w:val="32"/>
          <w:szCs w:val="32"/>
        </w:rPr>
      </w:pPr>
      <w:r>
        <w:rPr>
          <w:rFonts w:ascii="黑体" w:hAnsi="黑体" w:eastAsia="黑体"/>
          <w:bCs/>
          <w:color w:val="000000"/>
          <w:sz w:val="32"/>
          <w:szCs w:val="32"/>
        </w:rPr>
        <w:t>四、评分标准</w:t>
      </w:r>
    </w:p>
    <w:p w14:paraId="67BBDDE8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拼搭得分标准：无屏编程智能搜索船搭建完成（具有完整性和美观性），得10分；无屏编程智能搜索船拼搭结构具有创新性（结构创新，声音、光影效果），得10分，最多得20分，车体尺寸：20*15*10cm，不可超出准备区，超出此项不得分；</w:t>
      </w:r>
    </w:p>
    <w:p w14:paraId="49EC9916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②</w:t>
      </w:r>
      <w:r>
        <w:rPr>
          <w:rFonts w:eastAsia="仿宋_GB2312"/>
          <w:color w:val="000000"/>
          <w:sz w:val="32"/>
          <w:szCs w:val="32"/>
        </w:rPr>
        <w:t>赛道行驶得分标准：一号选手搜索船从出发区出发，到达停靠区相应颜色区域（白色得1分，红色得5分，黄色得10分，绿色得15分，船体完全再绿色区域得25分），颜色分值判定：搜索船船身停在两种颜色之间，根据颜色面积占比判断，取占比高的颜色分数。（注：如占比相等取高分。）</w:t>
      </w:r>
    </w:p>
    <w:p w14:paraId="1C6CA477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FF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③</w:t>
      </w:r>
      <w:r>
        <w:rPr>
          <w:rFonts w:eastAsia="仿宋_GB2312"/>
          <w:color w:val="000000"/>
          <w:sz w:val="32"/>
          <w:szCs w:val="32"/>
        </w:rPr>
        <w:t>打捞任务得分标准：二号选手从</w:t>
      </w:r>
      <w:r>
        <w:rPr>
          <w:rFonts w:eastAsia="仿宋_GB2312"/>
          <w:sz w:val="32"/>
          <w:szCs w:val="32"/>
        </w:rPr>
        <w:t>二号出发区的对应颜色区域出发。（</w:t>
      </w:r>
      <w:r>
        <w:rPr>
          <w:rFonts w:eastAsia="仿宋_GB2312"/>
          <w:color w:val="000000"/>
          <w:sz w:val="32"/>
          <w:szCs w:val="32"/>
        </w:rPr>
        <w:t>颜色</w:t>
      </w:r>
      <w:r>
        <w:rPr>
          <w:rFonts w:eastAsia="仿宋_GB2312"/>
          <w:sz w:val="32"/>
          <w:szCs w:val="32"/>
        </w:rPr>
        <w:t>是对应一号选手的停船区域颜色，途</w:t>
      </w:r>
      <w:r>
        <w:rPr>
          <w:rFonts w:eastAsia="仿宋_GB2312"/>
          <w:color w:val="000000"/>
          <w:sz w:val="32"/>
          <w:szCs w:val="32"/>
        </w:rPr>
        <w:t>中推开文物（露出底色即可），得分标准为：瓷器得15分，金器得10分，银器得5分。）</w:t>
      </w:r>
    </w:p>
    <w:p w14:paraId="0B7602FE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④</w:t>
      </w:r>
      <w:r>
        <w:rPr>
          <w:rFonts w:eastAsia="仿宋_GB2312"/>
          <w:color w:val="000000"/>
          <w:sz w:val="32"/>
          <w:szCs w:val="32"/>
        </w:rPr>
        <w:t>搜索船停止运行后，二号选手搜索船完全停在停船区内得15分，未到达或超出停船区扣5分。</w:t>
      </w:r>
    </w:p>
    <w:p w14:paraId="17BAB2E8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⑤</w:t>
      </w:r>
      <w:r>
        <w:rPr>
          <w:rFonts w:eastAsia="仿宋_GB2312"/>
          <w:color w:val="000000"/>
          <w:sz w:val="32"/>
          <w:szCs w:val="32"/>
        </w:rPr>
        <w:t>从搜索船启动到任务完成，总时长不得超过2分钟，超时由裁判喊停，停止计分；</w:t>
      </w:r>
    </w:p>
    <w:p w14:paraId="2BE3DF09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⑥</w:t>
      </w:r>
      <w:r>
        <w:rPr>
          <w:rFonts w:eastAsia="仿宋_GB2312"/>
          <w:color w:val="000000"/>
          <w:sz w:val="32"/>
          <w:szCs w:val="32"/>
        </w:rPr>
        <w:t>另注：现场不遵守比赛规则，大声喧哗，打扰他人比赛，有一次扣5分，超过两次，不听劝阻者，直接取消比赛资格。</w:t>
      </w:r>
    </w:p>
    <w:p w14:paraId="236C1DEE">
      <w:pPr>
        <w:snapToGrid w:val="0"/>
        <w:spacing w:line="570" w:lineRule="exact"/>
        <w:ind w:firstLine="640" w:firstLineChars="200"/>
        <w:rPr>
          <w:rFonts w:ascii="黑体" w:hAnsi="黑体" w:eastAsia="黑体"/>
          <w:bCs/>
          <w:color w:val="000000"/>
          <w:sz w:val="32"/>
          <w:szCs w:val="32"/>
        </w:rPr>
      </w:pPr>
      <w:bookmarkStart w:id="6" w:name="_Toc256000038"/>
      <w:bookmarkStart w:id="7" w:name="_Toc26471"/>
      <w:r>
        <w:rPr>
          <w:rFonts w:ascii="黑体" w:hAnsi="黑体" w:eastAsia="黑体"/>
          <w:bCs/>
          <w:color w:val="000000"/>
          <w:sz w:val="32"/>
          <w:szCs w:val="32"/>
        </w:rPr>
        <w:t>五、参赛要求</w:t>
      </w:r>
      <w:bookmarkEnd w:id="6"/>
      <w:bookmarkEnd w:id="7"/>
    </w:p>
    <w:p w14:paraId="3BB28C04">
      <w:pPr>
        <w:adjustRightInd w:val="0"/>
        <w:snapToGrid w:val="0"/>
        <w:spacing w:line="570" w:lineRule="exact"/>
        <w:ind w:firstLine="640" w:firstLineChars="200"/>
        <w:rPr>
          <w:rFonts w:eastAsia="仿宋_GB2312"/>
          <w:b/>
          <w:color w:val="000000"/>
          <w:sz w:val="32"/>
          <w:szCs w:val="32"/>
        </w:rPr>
      </w:pPr>
      <w:bookmarkStart w:id="8" w:name="______6"/>
      <w:bookmarkEnd w:id="8"/>
      <w:bookmarkStart w:id="9" w:name="_Toc256000039"/>
      <w:r>
        <w:rPr>
          <w:rFonts w:eastAsia="仿宋_GB2312"/>
          <w:b/>
          <w:color w:val="000000"/>
          <w:sz w:val="32"/>
          <w:szCs w:val="32"/>
        </w:rPr>
        <w:t>1.</w:t>
      </w:r>
      <w:r>
        <w:rPr>
          <w:rFonts w:hint="eastAsia" w:eastAsia="仿宋_GB2312"/>
          <w:b/>
          <w:color w:val="000000"/>
          <w:sz w:val="32"/>
          <w:szCs w:val="32"/>
        </w:rPr>
        <w:t xml:space="preserve"> </w:t>
      </w:r>
      <w:r>
        <w:rPr>
          <w:rFonts w:eastAsia="仿宋_GB2312"/>
          <w:b/>
          <w:color w:val="000000"/>
          <w:sz w:val="32"/>
          <w:szCs w:val="32"/>
        </w:rPr>
        <w:t>赛队组成</w:t>
      </w:r>
      <w:bookmarkEnd w:id="9"/>
    </w:p>
    <w:p w14:paraId="056719EA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bookmarkStart w:id="10" w:name="________2_6___________1_2__"/>
      <w:bookmarkEnd w:id="10"/>
      <w:bookmarkStart w:id="11" w:name="_Toc256000040"/>
      <w:r>
        <w:rPr>
          <w:rFonts w:eastAsia="仿宋_GB2312"/>
          <w:color w:val="000000"/>
          <w:sz w:val="32"/>
          <w:szCs w:val="32"/>
        </w:rPr>
        <w:t>每个赛队由2名学生带2艘搜索船组成</w:t>
      </w:r>
      <w:bookmarkEnd w:id="11"/>
      <w:r>
        <w:rPr>
          <w:rFonts w:eastAsia="仿宋_GB2312"/>
          <w:color w:val="000000"/>
          <w:sz w:val="32"/>
          <w:szCs w:val="32"/>
        </w:rPr>
        <w:t>；按照抽签顺序进行比赛。</w:t>
      </w:r>
    </w:p>
    <w:p w14:paraId="18B6DD27">
      <w:pPr>
        <w:adjustRightInd w:val="0"/>
        <w:snapToGrid w:val="0"/>
        <w:spacing w:line="570" w:lineRule="exact"/>
        <w:ind w:firstLine="640" w:firstLineChars="200"/>
        <w:rPr>
          <w:rFonts w:eastAsia="仿宋_GB2312"/>
          <w:b/>
          <w:color w:val="000000"/>
          <w:sz w:val="32"/>
          <w:szCs w:val="32"/>
        </w:rPr>
      </w:pPr>
      <w:bookmarkStart w:id="12" w:name="________3"/>
      <w:bookmarkEnd w:id="12"/>
      <w:bookmarkStart w:id="13" w:name="_Toc256000041"/>
      <w:r>
        <w:rPr>
          <w:rFonts w:eastAsia="仿宋_GB2312"/>
          <w:b/>
          <w:color w:val="000000"/>
          <w:sz w:val="32"/>
          <w:szCs w:val="32"/>
        </w:rPr>
        <w:t>2.</w:t>
      </w:r>
      <w:r>
        <w:rPr>
          <w:rFonts w:hint="eastAsia" w:eastAsia="仿宋_GB2312"/>
          <w:b/>
          <w:color w:val="000000"/>
          <w:sz w:val="32"/>
          <w:szCs w:val="32"/>
        </w:rPr>
        <w:t xml:space="preserve"> </w:t>
      </w:r>
      <w:r>
        <w:rPr>
          <w:rFonts w:eastAsia="仿宋_GB2312"/>
          <w:b/>
          <w:color w:val="000000"/>
          <w:sz w:val="32"/>
          <w:szCs w:val="32"/>
        </w:rPr>
        <w:t>参赛搜索船数量</w:t>
      </w:r>
      <w:bookmarkEnd w:id="13"/>
    </w:p>
    <w:p w14:paraId="062C6D75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bookmarkStart w:id="14" w:name="__________________________"/>
      <w:bookmarkEnd w:id="14"/>
      <w:bookmarkStart w:id="15" w:name="_Toc256000042"/>
      <w:r>
        <w:rPr>
          <w:rFonts w:eastAsia="仿宋_GB2312"/>
          <w:color w:val="000000"/>
          <w:sz w:val="32"/>
          <w:szCs w:val="32"/>
        </w:rPr>
        <w:t>每队仅能使用2台无屏编程智能搜索船参与比赛，中途不得更换搜索船。</w:t>
      </w:r>
      <w:bookmarkEnd w:id="15"/>
    </w:p>
    <w:p w14:paraId="40B585CF">
      <w:pPr>
        <w:adjustRightInd w:val="0"/>
        <w:snapToGrid w:val="0"/>
        <w:spacing w:line="570" w:lineRule="exact"/>
        <w:ind w:firstLine="640" w:firstLineChars="200"/>
        <w:rPr>
          <w:rFonts w:eastAsia="仿宋_GB2312"/>
          <w:b/>
          <w:color w:val="000000"/>
          <w:sz w:val="32"/>
          <w:szCs w:val="32"/>
        </w:rPr>
      </w:pPr>
      <w:bookmarkStart w:id="16" w:name="_Toc3200"/>
      <w:bookmarkStart w:id="17" w:name="_Toc256000046"/>
      <w:r>
        <w:rPr>
          <w:rFonts w:eastAsia="仿宋_GB2312"/>
          <w:b/>
          <w:color w:val="000000"/>
          <w:sz w:val="32"/>
          <w:szCs w:val="32"/>
        </w:rPr>
        <w:t>3.</w:t>
      </w:r>
      <w:r>
        <w:rPr>
          <w:rFonts w:hint="eastAsia" w:eastAsia="仿宋_GB2312"/>
          <w:b/>
          <w:color w:val="000000"/>
          <w:sz w:val="32"/>
          <w:szCs w:val="32"/>
        </w:rPr>
        <w:t xml:space="preserve"> </w:t>
      </w:r>
      <w:r>
        <w:rPr>
          <w:rFonts w:eastAsia="仿宋_GB2312"/>
          <w:b/>
          <w:color w:val="000000"/>
          <w:sz w:val="32"/>
          <w:szCs w:val="32"/>
        </w:rPr>
        <w:t>无屏编程搜索船要求</w:t>
      </w:r>
      <w:bookmarkEnd w:id="16"/>
      <w:bookmarkEnd w:id="17"/>
    </w:p>
    <w:p w14:paraId="6C5E3497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bookmarkStart w:id="18" w:name="__________________________________4"/>
      <w:bookmarkEnd w:id="18"/>
      <w:r>
        <w:rPr>
          <w:rFonts w:hint="eastAsia" w:eastAsia="仿宋_GB2312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参赛用搜索船只能使用单一电机。</w:t>
      </w:r>
    </w:p>
    <w:p w14:paraId="24B12A02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②</w:t>
      </w:r>
      <w:r>
        <w:rPr>
          <w:rFonts w:eastAsia="仿宋_GB2312"/>
          <w:color w:val="000000"/>
          <w:sz w:val="32"/>
          <w:szCs w:val="32"/>
        </w:rPr>
        <w:t>参赛用搜索船必须为散件，不可使用半成品或现成船体。</w:t>
      </w:r>
    </w:p>
    <w:p w14:paraId="0D6244EF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③</w:t>
      </w:r>
      <w:r>
        <w:rPr>
          <w:rFonts w:eastAsia="仿宋_GB2312"/>
          <w:color w:val="000000"/>
          <w:sz w:val="32"/>
          <w:szCs w:val="32"/>
        </w:rPr>
        <w:t>参赛用搜索船刷卡必须体现编程逻辑。</w:t>
      </w:r>
    </w:p>
    <w:p w14:paraId="6363A1E0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④</w:t>
      </w:r>
      <w:r>
        <w:rPr>
          <w:rFonts w:eastAsia="仿宋_GB2312"/>
          <w:color w:val="000000"/>
          <w:sz w:val="32"/>
          <w:szCs w:val="32"/>
        </w:rPr>
        <w:t>参赛搜索船模块使用四面磁吸或4P连接线连接（不可使用胶水、轧带等固定）；</w:t>
      </w:r>
    </w:p>
    <w:p w14:paraId="4457EA16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⑤</w:t>
      </w:r>
      <w:r>
        <w:rPr>
          <w:rFonts w:eastAsia="仿宋_GB2312"/>
          <w:color w:val="000000"/>
          <w:sz w:val="32"/>
          <w:szCs w:val="32"/>
        </w:rPr>
        <w:t>所有电子模块尺寸不超过长5cm，宽3.5cm，高2.5cm；</w:t>
      </w:r>
    </w:p>
    <w:p w14:paraId="7D6AF763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⑥</w:t>
      </w:r>
      <w:r>
        <w:rPr>
          <w:rFonts w:eastAsia="仿宋_GB2312"/>
          <w:color w:val="000000"/>
          <w:sz w:val="32"/>
          <w:szCs w:val="32"/>
        </w:rPr>
        <w:t>无屏编程智能搜索船运行动作、速度、时间以及附加声音、光影效果，必须通过无屏编程方式预设。</w:t>
      </w:r>
    </w:p>
    <w:p w14:paraId="70A11771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bookmarkStart w:id="19" w:name="_Toc256000047"/>
      <w:r>
        <w:rPr>
          <w:rFonts w:eastAsia="仿宋_GB2312"/>
          <w:color w:val="000000"/>
          <w:sz w:val="32"/>
          <w:szCs w:val="32"/>
        </w:rPr>
        <w:t>材料：参赛选手所用器材仅限于小颗粒积木、电子模块、编程卡等。</w:t>
      </w:r>
      <w:bookmarkEnd w:id="19"/>
      <w:r>
        <w:rPr>
          <w:rFonts w:eastAsia="仿宋_GB2312"/>
          <w:color w:val="000000"/>
          <w:sz w:val="32"/>
          <w:szCs w:val="32"/>
        </w:rPr>
        <w:t>文物以一次性纸杯代替，重量：7±1g，高：94±5mm。</w:t>
      </w:r>
    </w:p>
    <w:p w14:paraId="3C0DAE24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bookmarkStart w:id="20" w:name="________________35cm_______60cm_"/>
      <w:bookmarkEnd w:id="20"/>
      <w:bookmarkStart w:id="21" w:name="_Toc256000048"/>
      <w:r>
        <w:rPr>
          <w:rFonts w:eastAsia="仿宋_GB2312"/>
          <w:color w:val="000000"/>
          <w:sz w:val="32"/>
          <w:szCs w:val="32"/>
        </w:rPr>
        <w:t>尺寸：</w:t>
      </w:r>
      <w:bookmarkEnd w:id="21"/>
      <w:r>
        <w:rPr>
          <w:rFonts w:eastAsia="仿宋_GB2312"/>
          <w:color w:val="000000"/>
          <w:sz w:val="32"/>
          <w:szCs w:val="32"/>
        </w:rPr>
        <w:t>参赛搜索船整场比赛中尺寸不可改变；长不超过20cm，宽不超过15cm，高度不超过10cm。</w:t>
      </w:r>
    </w:p>
    <w:p w14:paraId="65406CA3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bookmarkStart w:id="22" w:name="________________________24v________120wh"/>
      <w:bookmarkEnd w:id="22"/>
      <w:bookmarkStart w:id="23" w:name="______________________________2"/>
      <w:bookmarkEnd w:id="23"/>
      <w:bookmarkStart w:id="24" w:name="_Toc256000050"/>
      <w:r>
        <w:rPr>
          <w:rFonts w:eastAsia="仿宋_GB2312"/>
          <w:color w:val="000000"/>
          <w:sz w:val="32"/>
          <w:szCs w:val="32"/>
        </w:rPr>
        <w:t>电池：参赛搜索船不可使用外接电源，允许使用铅酸、锂聚合物电池，输出电压小于等于5v，输出电流小于400mA,总储能不得超过400mAh。</w:t>
      </w:r>
      <w:bookmarkEnd w:id="24"/>
      <w:bookmarkStart w:id="25" w:name="__________________________________5"/>
      <w:bookmarkEnd w:id="25"/>
    </w:p>
    <w:p w14:paraId="5DC2038E">
      <w:pPr>
        <w:widowControl/>
        <w:adjustRightInd w:val="0"/>
        <w:snapToGrid w:val="0"/>
        <w:spacing w:line="570" w:lineRule="exact"/>
        <w:rPr>
          <w:rFonts w:eastAsia="仿宋_GB2312"/>
          <w:color w:val="000000"/>
          <w:kern w:val="0"/>
          <w:sz w:val="32"/>
          <w:szCs w:val="32"/>
          <w:lang w:bidi="ar"/>
        </w:rPr>
      </w:pPr>
    </w:p>
    <w:p w14:paraId="0FF3D876">
      <w:pPr>
        <w:widowControl/>
        <w:adjustRightInd w:val="0"/>
        <w:snapToGrid w:val="0"/>
        <w:spacing w:line="560" w:lineRule="exact"/>
        <w:ind w:firstLine="640" w:firstLineChars="200"/>
        <w:rPr>
          <w:rFonts w:hint="eastAsia" w:ascii="楷体_GB2312" w:eastAsia="楷体_GB2312"/>
          <w:b/>
          <w:bCs/>
          <w:color w:val="000000"/>
          <w:sz w:val="32"/>
          <w:szCs w:val="32"/>
        </w:rPr>
      </w:pPr>
      <w:r>
        <w:rPr>
          <w:rFonts w:hint="eastAsia" w:ascii="楷体_GB2312" w:eastAsia="楷体_GB2312"/>
          <w:b/>
          <w:bCs/>
          <w:color w:val="000000"/>
          <w:sz w:val="32"/>
          <w:szCs w:val="32"/>
        </w:rPr>
        <w:t xml:space="preserve">赛项二：“探寻海丝遗珍” </w:t>
      </w:r>
    </w:p>
    <w:p w14:paraId="2140125F">
      <w:pPr>
        <w:snapToGrid w:val="0"/>
        <w:spacing w:line="570" w:lineRule="exact"/>
        <w:ind w:firstLine="640" w:firstLineChars="200"/>
        <w:rPr>
          <w:rFonts w:ascii="黑体" w:hAnsi="黑体" w:eastAsia="黑体"/>
          <w:bCs/>
          <w:color w:val="000000"/>
          <w:sz w:val="32"/>
          <w:szCs w:val="32"/>
        </w:rPr>
      </w:pPr>
      <w:r>
        <w:rPr>
          <w:rFonts w:ascii="黑体" w:hAnsi="黑体" w:eastAsia="黑体"/>
          <w:bCs/>
          <w:color w:val="000000"/>
          <w:sz w:val="32"/>
          <w:szCs w:val="32"/>
        </w:rPr>
        <w:t>一、场地图纸</w:t>
      </w:r>
    </w:p>
    <w:p w14:paraId="799E7CEF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本次赛道图纸为长方形，尺寸为2.4m*1.5m,全程巡线，赛道图纸如下：</w:t>
      </w:r>
    </w:p>
    <w:p w14:paraId="55CBF6A8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drawing>
          <wp:inline distT="0" distB="0" distL="114300" distR="114300">
            <wp:extent cx="5270500" cy="3644900"/>
            <wp:effectExtent l="0" t="0" r="6350" b="12700"/>
            <wp:docPr id="18" name="图片 2" descr="43c74a2c4bbfc516a78f5792722a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43c74a2c4bbfc516a78f5792722a7c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B310">
      <w:pPr>
        <w:spacing w:line="560" w:lineRule="exact"/>
        <w:ind w:left="420" w:leftChars="200" w:firstLine="627" w:firstLineChars="196"/>
        <w:rPr>
          <w:rFonts w:hint="eastAsia" w:ascii="仿宋_GB2312" w:hAnsi="仿宋" w:eastAsia="仿宋_GB2312" w:cs="仿宋"/>
          <w:b/>
          <w:bCs/>
          <w:color w:val="000000"/>
          <w:sz w:val="32"/>
          <w:szCs w:val="32"/>
        </w:rPr>
      </w:pPr>
      <w:r>
        <w:rPr>
          <w:rFonts w:hint="eastAsia" w:ascii="仿宋_GB2312" w:hAnsi="仿宋" w:eastAsia="仿宋_GB2312" w:cs="仿宋"/>
          <w:b/>
          <w:bCs/>
          <w:color w:val="000000"/>
          <w:sz w:val="32"/>
          <w:szCs w:val="32"/>
        </w:rPr>
        <w:t xml:space="preserve">起点处，参赛船只尺寸大于起点处定为不合格，外接模块或者其他外接部件也不得超出框，否则取消比赛资格     </w:t>
      </w:r>
    </w:p>
    <w:p w14:paraId="603060AE">
      <w:pPr>
        <w:snapToGrid w:val="0"/>
        <w:spacing w:line="570" w:lineRule="exact"/>
        <w:ind w:firstLine="640" w:firstLineChars="200"/>
        <w:rPr>
          <w:rFonts w:hint="eastAsia" w:ascii="黑体" w:hAnsi="黑体" w:eastAsia="黑体"/>
          <w:bCs/>
          <w:color w:val="000000"/>
          <w:sz w:val="32"/>
          <w:szCs w:val="32"/>
        </w:rPr>
      </w:pPr>
      <w:r>
        <w:rPr>
          <w:rFonts w:hint="eastAsia" w:ascii="黑体" w:hAnsi="黑体" w:eastAsia="黑体"/>
          <w:bCs/>
          <w:color w:val="000000"/>
          <w:sz w:val="32"/>
          <w:szCs w:val="32"/>
        </w:rPr>
        <w:t>二、比赛任务</w:t>
      </w:r>
    </w:p>
    <w:p w14:paraId="05DD8353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识别南海一号遗址</w:t>
      </w:r>
    </w:p>
    <w:p w14:paraId="6A795F20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1号船从起点一出发后，智能小船巡线前进，进行图像识别-识别到南海一号遗址图标，并且语音播报（探寻到南海一号沉船）。</w:t>
      </w:r>
    </w:p>
    <w:p w14:paraId="46B924D3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②</w:t>
      </w:r>
      <w:r>
        <w:rPr>
          <w:rFonts w:eastAsia="仿宋_GB2312"/>
          <w:color w:val="000000"/>
          <w:sz w:val="32"/>
          <w:szCs w:val="32"/>
        </w:rPr>
        <w:t>清除障碍</w:t>
      </w:r>
    </w:p>
    <w:p w14:paraId="4C531763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转向识别正确后，继续巡线，检测到障碍物，进行语音播报（前方障碍，进行清理），1号小船机械爪移开障碍。</w:t>
      </w:r>
    </w:p>
    <w:p w14:paraId="5AC9529C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③</w:t>
      </w:r>
      <w:r>
        <w:rPr>
          <w:rFonts w:eastAsia="仿宋_GB2312"/>
          <w:color w:val="000000"/>
          <w:sz w:val="32"/>
          <w:szCs w:val="32"/>
        </w:rPr>
        <w:t>打捞区1</w:t>
      </w:r>
    </w:p>
    <w:p w14:paraId="37218193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1号小船到达打捞区，进行图像识别南海一号文物，语音播报（到达打捞区，打捞成功）。</w:t>
      </w:r>
    </w:p>
    <w:p w14:paraId="288236FB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④</w:t>
      </w:r>
      <w:r>
        <w:rPr>
          <w:rFonts w:eastAsia="仿宋_GB2312"/>
          <w:color w:val="000000"/>
          <w:sz w:val="32"/>
          <w:szCs w:val="32"/>
        </w:rPr>
        <w:t>补给站</w:t>
      </w:r>
    </w:p>
    <w:p w14:paraId="63792C47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继续巡线，到达补给站，1号小船停止，并且语音播报（到达补给站）</w:t>
      </w:r>
      <w:r>
        <w:rPr>
          <w:rFonts w:hint="eastAsia" w:eastAsia="仿宋_GB2312"/>
          <w:color w:val="000000"/>
          <w:sz w:val="32"/>
          <w:szCs w:val="32"/>
        </w:rPr>
        <w:t>，</w:t>
      </w:r>
      <w:r>
        <w:rPr>
          <w:rFonts w:eastAsia="仿宋_GB2312"/>
          <w:color w:val="000000"/>
          <w:sz w:val="32"/>
          <w:szCs w:val="32"/>
        </w:rPr>
        <w:t>1号小船停在补给站内，道闸打开。</w:t>
      </w:r>
    </w:p>
    <w:p w14:paraId="1A23A863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⑤</w:t>
      </w:r>
      <w:r>
        <w:rPr>
          <w:rFonts w:eastAsia="仿宋_GB2312"/>
          <w:color w:val="000000"/>
          <w:sz w:val="32"/>
          <w:szCs w:val="32"/>
        </w:rPr>
        <w:t>2号船出发</w:t>
      </w:r>
    </w:p>
    <w:p w14:paraId="2D7F05A1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号船播报完成后，2号船出发分为两种情况：一、1号小船没有到达补给站，2号小船从B线路出发，检测到障碍物，语音播报（前方障碍，进行清理），清理障碍后到达补给站，道闸打开，继续巡线。二、1号船到达补给站，道闸打开，2号船从A线路出发，经过道闸，继续前进。</w:t>
      </w:r>
    </w:p>
    <w:p w14:paraId="6BE4782D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⑥</w:t>
      </w:r>
      <w:r>
        <w:rPr>
          <w:rFonts w:eastAsia="仿宋_GB2312"/>
          <w:color w:val="000000"/>
          <w:sz w:val="32"/>
          <w:szCs w:val="32"/>
        </w:rPr>
        <w:t>南海西北陆坡沉船遗址</w:t>
      </w:r>
    </w:p>
    <w:p w14:paraId="3DFB3CD2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到达南海西北陆坡沉船遗址，进行图像识别，并语音播报（发现南海西北陆坡沉船）。</w:t>
      </w:r>
    </w:p>
    <w:p w14:paraId="576E8CFA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⑦</w:t>
      </w:r>
      <w:r>
        <w:rPr>
          <w:rFonts w:eastAsia="仿宋_GB2312"/>
          <w:color w:val="000000"/>
          <w:sz w:val="32"/>
          <w:szCs w:val="32"/>
        </w:rPr>
        <w:t>打捞区2</w:t>
      </w:r>
    </w:p>
    <w:p w14:paraId="733D00C1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到达打捞区2，进行图像识别-识别南海西北陆坡文物，语音播报（到达打捞位置，打捞文物成功），语音播报结束后，掉头巡线。</w:t>
      </w:r>
    </w:p>
    <w:p w14:paraId="7BC5057F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⑧</w:t>
      </w:r>
      <w:r>
        <w:rPr>
          <w:rFonts w:eastAsia="仿宋_GB2312"/>
          <w:color w:val="000000"/>
          <w:sz w:val="32"/>
          <w:szCs w:val="32"/>
        </w:rPr>
        <w:t>倒船入坞</w:t>
      </w:r>
    </w:p>
    <w:p w14:paraId="46FB1CB9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 xml:space="preserve">到达终点处，智能小船执行倒船入坞，进行语音播报（到达曾母暗沙岛，搜寻结束），智能小船不可压线。                </w:t>
      </w:r>
    </w:p>
    <w:p w14:paraId="472AB572">
      <w:pPr>
        <w:snapToGrid w:val="0"/>
        <w:spacing w:line="570" w:lineRule="exact"/>
        <w:ind w:firstLine="640" w:firstLineChars="200"/>
        <w:rPr>
          <w:rFonts w:ascii="黑体" w:hAnsi="黑体" w:eastAsia="黑体"/>
          <w:bCs/>
          <w:color w:val="000000"/>
          <w:sz w:val="32"/>
          <w:szCs w:val="32"/>
        </w:rPr>
      </w:pPr>
      <w:r>
        <w:rPr>
          <w:rFonts w:ascii="黑体" w:hAnsi="黑体" w:eastAsia="黑体"/>
          <w:bCs/>
          <w:color w:val="000000"/>
          <w:sz w:val="32"/>
          <w:szCs w:val="32"/>
        </w:rPr>
        <w:t>三、比赛规则</w:t>
      </w:r>
    </w:p>
    <w:p w14:paraId="595405FA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调试时间：</w:t>
      </w:r>
      <w:r>
        <w:rPr>
          <w:rFonts w:eastAsia="仿宋_GB2312"/>
          <w:color w:val="000000"/>
          <w:sz w:val="32"/>
          <w:szCs w:val="32"/>
        </w:rPr>
        <w:t>每支参赛队赛前有两次调试机会，一次为3分钟，排队按照顺序进行检测</w:t>
      </w:r>
    </w:p>
    <w:p w14:paraId="250E0347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比赛时间：</w:t>
      </w:r>
      <w:r>
        <w:rPr>
          <w:rFonts w:eastAsia="仿宋_GB2312"/>
          <w:color w:val="000000"/>
          <w:sz w:val="32"/>
          <w:szCs w:val="32"/>
        </w:rPr>
        <w:t>智能小船要在3分钟内跑完全程，超出时间，则按照规定时间内完成的任务点计算分数，时间外分数不计算在总分内。</w:t>
      </w:r>
    </w:p>
    <w:p w14:paraId="60D39EDE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bookmarkStart w:id="26" w:name="_Toc256000015"/>
      <w:r>
        <w:rPr>
          <w:rFonts w:eastAsia="仿宋_GB2312"/>
          <w:color w:val="000000"/>
          <w:sz w:val="32"/>
          <w:szCs w:val="32"/>
        </w:rPr>
        <w:t>开始及结束：</w:t>
      </w:r>
    </w:p>
    <w:p w14:paraId="641AF4AC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智能小船在起点1和起点2做准备，准备好向裁判举手示意。</w:t>
      </w:r>
    </w:p>
    <w:p w14:paraId="4717AA8E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②</w:t>
      </w:r>
      <w:r>
        <w:rPr>
          <w:rFonts w:eastAsia="仿宋_GB2312"/>
          <w:color w:val="000000"/>
          <w:sz w:val="32"/>
          <w:szCs w:val="32"/>
        </w:rPr>
        <w:t>听到开始的口令后，通过触摸屏或者物理开关来启动小船。</w:t>
      </w:r>
    </w:p>
    <w:p w14:paraId="04F501D6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③</w:t>
      </w:r>
      <w:r>
        <w:rPr>
          <w:rFonts w:eastAsia="仿宋_GB2312"/>
          <w:color w:val="000000"/>
          <w:sz w:val="32"/>
          <w:szCs w:val="32"/>
        </w:rPr>
        <w:t>1号选手小船有故障时，2号选手可与队友协商让1号选手停止比赛，2号选手从起点2开始出发，同时1号选手因立即停止比赛（关闭小船电源）1号小船得分以最后停止位置计算得分；</w:t>
      </w:r>
    </w:p>
    <w:p w14:paraId="185BF73E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④</w:t>
      </w:r>
      <w:r>
        <w:rPr>
          <w:rFonts w:eastAsia="仿宋_GB2312"/>
          <w:color w:val="000000"/>
          <w:sz w:val="32"/>
          <w:szCs w:val="32"/>
        </w:rPr>
        <w:t>比赛过程中不得触碰小船，不能使用遥控控制小船。</w:t>
      </w:r>
    </w:p>
    <w:p w14:paraId="4E08EB6F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⑤</w:t>
      </w:r>
      <w:r>
        <w:rPr>
          <w:rFonts w:eastAsia="仿宋_GB2312"/>
          <w:color w:val="000000"/>
          <w:sz w:val="32"/>
          <w:szCs w:val="32"/>
        </w:rPr>
        <w:t>结束时，小船在终点区的位置停止，裁判停止计时</w:t>
      </w:r>
      <w:bookmarkEnd w:id="26"/>
      <w:r>
        <w:rPr>
          <w:rFonts w:eastAsia="仿宋_GB2312"/>
          <w:color w:val="000000"/>
          <w:sz w:val="32"/>
          <w:szCs w:val="32"/>
        </w:rPr>
        <w:t>。</w:t>
      </w:r>
    </w:p>
    <w:p w14:paraId="56C979BF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比赛轮次：</w:t>
      </w:r>
      <w:r>
        <w:rPr>
          <w:rFonts w:eastAsia="仿宋_GB2312"/>
          <w:color w:val="000000"/>
          <w:sz w:val="32"/>
          <w:szCs w:val="32"/>
        </w:rPr>
        <w:t>每支参赛队有连续两轮比赛机会，两轮结束，采用比分较高的一次，作为比赛成绩。</w:t>
      </w:r>
    </w:p>
    <w:p w14:paraId="299BAA6E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禁止事项：</w:t>
      </w:r>
      <w:r>
        <w:rPr>
          <w:rFonts w:eastAsia="仿宋_GB2312"/>
          <w:color w:val="000000"/>
          <w:sz w:val="32"/>
          <w:szCs w:val="32"/>
        </w:rPr>
        <w:t>禁止比赛中恶意损坏场地围挡及场上道具。如果有违规者，裁判有权强行停止智能小船，并取消比赛资格。</w:t>
      </w:r>
    </w:p>
    <w:p w14:paraId="100E327F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bookmarkStart w:id="27" w:name="_Toc256000019"/>
      <w:r>
        <w:rPr>
          <w:rFonts w:eastAsia="仿宋_GB2312"/>
          <w:b/>
          <w:bCs/>
          <w:color w:val="000000"/>
          <w:sz w:val="32"/>
          <w:szCs w:val="32"/>
        </w:rPr>
        <w:t>突发问题：</w:t>
      </w:r>
      <w:r>
        <w:rPr>
          <w:rFonts w:eastAsia="仿宋_GB2312"/>
          <w:color w:val="000000"/>
          <w:sz w:val="32"/>
          <w:szCs w:val="32"/>
        </w:rPr>
        <w:t>比赛过程中如果遇到突发问题，可以停止小船进行调整，由裁判负责把小船放置在出发区，道具放置初始区域，重新开始任务。过程中记时不停止</w:t>
      </w:r>
      <w:bookmarkEnd w:id="27"/>
      <w:r>
        <w:rPr>
          <w:rFonts w:eastAsia="仿宋_GB2312"/>
          <w:color w:val="000000"/>
          <w:sz w:val="32"/>
          <w:szCs w:val="32"/>
        </w:rPr>
        <w:t>。</w:t>
      </w:r>
    </w:p>
    <w:p w14:paraId="39FF8ECC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最终解释权归赛事组委会所有。</w:t>
      </w:r>
    </w:p>
    <w:p w14:paraId="610D341C">
      <w:pPr>
        <w:snapToGrid w:val="0"/>
        <w:spacing w:line="570" w:lineRule="exact"/>
        <w:ind w:firstLine="640" w:firstLineChars="200"/>
        <w:rPr>
          <w:rFonts w:ascii="黑体" w:hAnsi="黑体" w:eastAsia="黑体"/>
          <w:bCs/>
          <w:color w:val="000000"/>
          <w:sz w:val="32"/>
          <w:szCs w:val="32"/>
        </w:rPr>
      </w:pPr>
      <w:bookmarkStart w:id="28" w:name="________________________5_______10_"/>
      <w:bookmarkEnd w:id="28"/>
      <w:r>
        <w:rPr>
          <w:rFonts w:ascii="黑体" w:hAnsi="黑体" w:eastAsia="黑体"/>
          <w:bCs/>
          <w:color w:val="000000"/>
          <w:sz w:val="32"/>
          <w:szCs w:val="32"/>
        </w:rPr>
        <w:t>三、评分标准</w:t>
      </w:r>
    </w:p>
    <w:p w14:paraId="53203CCB">
      <w:pPr>
        <w:adjustRightInd w:val="0"/>
        <w:snapToGrid w:val="0"/>
        <w:spacing w:line="570" w:lineRule="exact"/>
        <w:ind w:firstLine="641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搜索出发：</w:t>
      </w:r>
    </w:p>
    <w:p w14:paraId="1FC62BE0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语音播报—准备出发，得5分，不播报不得分</w:t>
      </w:r>
    </w:p>
    <w:p w14:paraId="590F4365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②</w:t>
      </w:r>
      <w:r>
        <w:rPr>
          <w:rFonts w:eastAsia="仿宋_GB2312"/>
          <w:color w:val="000000"/>
          <w:sz w:val="32"/>
          <w:szCs w:val="32"/>
        </w:rPr>
        <w:t>未出发不得分，计时不停止</w:t>
      </w:r>
    </w:p>
    <w:p w14:paraId="44618396">
      <w:pPr>
        <w:adjustRightInd w:val="0"/>
        <w:snapToGrid w:val="0"/>
        <w:spacing w:line="570" w:lineRule="exact"/>
        <w:ind w:firstLine="641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智能小船识别南海一号遗址：</w:t>
      </w:r>
    </w:p>
    <w:p w14:paraId="2CF7D0E1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到达南海一号遗址得5分；</w:t>
      </w:r>
    </w:p>
    <w:p w14:paraId="4949DC3D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②</w:t>
      </w:r>
      <w:r>
        <w:rPr>
          <w:rFonts w:eastAsia="仿宋_GB2312"/>
          <w:color w:val="000000"/>
          <w:sz w:val="32"/>
          <w:szCs w:val="32"/>
        </w:rPr>
        <w:t>识别播报正确得5分；</w:t>
      </w:r>
    </w:p>
    <w:p w14:paraId="7C4629BF">
      <w:pPr>
        <w:adjustRightInd w:val="0"/>
        <w:snapToGrid w:val="0"/>
        <w:spacing w:line="570" w:lineRule="exact"/>
        <w:ind w:firstLine="641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智能小船清除障碍</w:t>
      </w:r>
      <w:r>
        <w:rPr>
          <w:rFonts w:hint="eastAsia" w:eastAsia="仿宋_GB2312"/>
          <w:b/>
          <w:bCs/>
          <w:color w:val="000000"/>
          <w:sz w:val="32"/>
          <w:szCs w:val="32"/>
        </w:rPr>
        <w:t>：</w:t>
      </w:r>
    </w:p>
    <w:p w14:paraId="11CB12BB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到达障碍物位置得5分</w:t>
      </w:r>
    </w:p>
    <w:p w14:paraId="5E52AB17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②</w:t>
      </w:r>
      <w:r>
        <w:rPr>
          <w:rFonts w:eastAsia="仿宋_GB2312"/>
          <w:color w:val="000000"/>
          <w:sz w:val="32"/>
          <w:szCs w:val="32"/>
        </w:rPr>
        <w:t>超声波成功检测障碍物，进行语音播报—前方障碍，得5分。</w:t>
      </w:r>
    </w:p>
    <w:p w14:paraId="11EEEFA2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③</w:t>
      </w:r>
      <w:r>
        <w:rPr>
          <w:rFonts w:eastAsia="仿宋_GB2312"/>
          <w:color w:val="000000"/>
          <w:sz w:val="32"/>
          <w:szCs w:val="32"/>
        </w:rPr>
        <w:t>清除障碍成功得5分；</w:t>
      </w:r>
    </w:p>
    <w:p w14:paraId="3A1B0489">
      <w:pPr>
        <w:adjustRightInd w:val="0"/>
        <w:snapToGrid w:val="0"/>
        <w:spacing w:line="570" w:lineRule="exact"/>
        <w:ind w:firstLine="641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打捞区南海一号文物：</w:t>
      </w:r>
    </w:p>
    <w:p w14:paraId="5168DA0C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到达南海一号文物，得5分；</w:t>
      </w:r>
    </w:p>
    <w:p w14:paraId="05689D95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②</w:t>
      </w:r>
      <w:r>
        <w:rPr>
          <w:rFonts w:eastAsia="仿宋_GB2312"/>
          <w:color w:val="000000"/>
          <w:sz w:val="32"/>
          <w:szCs w:val="32"/>
        </w:rPr>
        <w:t>识别播报正确得5分；</w:t>
      </w:r>
    </w:p>
    <w:p w14:paraId="7EDD599D">
      <w:pPr>
        <w:adjustRightInd w:val="0"/>
        <w:snapToGrid w:val="0"/>
        <w:spacing w:line="570" w:lineRule="exact"/>
        <w:ind w:firstLine="640" w:firstLineChars="200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补给站：</w:t>
      </w:r>
    </w:p>
    <w:p w14:paraId="1E071C59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到达补给站得10分；</w:t>
      </w:r>
    </w:p>
    <w:p w14:paraId="520F542B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②</w:t>
      </w:r>
      <w:r>
        <w:rPr>
          <w:rFonts w:eastAsia="仿宋_GB2312"/>
          <w:color w:val="000000"/>
          <w:sz w:val="32"/>
          <w:szCs w:val="32"/>
        </w:rPr>
        <w:t>播报正确得5分；</w:t>
      </w:r>
    </w:p>
    <w:p w14:paraId="67EEAC6A">
      <w:pPr>
        <w:adjustRightInd w:val="0"/>
        <w:snapToGrid w:val="0"/>
        <w:spacing w:line="570" w:lineRule="exact"/>
        <w:ind w:firstLine="640" w:firstLineChars="200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2号出发区：</w:t>
      </w:r>
    </w:p>
    <w:p w14:paraId="564EDE54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1号小船语音播放完毕后2号小船才能启动；</w:t>
      </w:r>
    </w:p>
    <w:p w14:paraId="7E769244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②</w:t>
      </w:r>
      <w:r>
        <w:rPr>
          <w:rFonts w:eastAsia="仿宋_GB2312"/>
          <w:color w:val="000000"/>
          <w:sz w:val="32"/>
          <w:szCs w:val="32"/>
        </w:rPr>
        <w:t>2号小船从A线出发，语音播报（继续出发）得5分；</w:t>
      </w:r>
    </w:p>
    <w:p w14:paraId="53BC261B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③</w:t>
      </w:r>
      <w:r>
        <w:rPr>
          <w:rFonts w:eastAsia="仿宋_GB2312"/>
          <w:color w:val="000000"/>
          <w:sz w:val="32"/>
          <w:szCs w:val="32"/>
        </w:rPr>
        <w:t>2号小船从B线出发，语音播报（继续出发），检测到障碍物，语音播报（前方障碍，进行清理），得5分，清除障碍得5分，到达补给区，得10分；</w:t>
      </w:r>
    </w:p>
    <w:p w14:paraId="53C5623C">
      <w:pPr>
        <w:adjustRightInd w:val="0"/>
        <w:snapToGrid w:val="0"/>
        <w:spacing w:line="570" w:lineRule="exact"/>
        <w:ind w:firstLine="640" w:firstLineChars="200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南海西北陆坡沉船遗址：</w:t>
      </w:r>
    </w:p>
    <w:p w14:paraId="349069C9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到达南海西北陆坡沉船遗址，得5分；</w:t>
      </w:r>
    </w:p>
    <w:p w14:paraId="49EAE961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②</w:t>
      </w:r>
      <w:r>
        <w:rPr>
          <w:rFonts w:eastAsia="仿宋_GB2312"/>
          <w:color w:val="000000"/>
          <w:sz w:val="32"/>
          <w:szCs w:val="32"/>
        </w:rPr>
        <w:t>识别播报正确得5分；</w:t>
      </w:r>
    </w:p>
    <w:p w14:paraId="7CEC3988">
      <w:pPr>
        <w:adjustRightInd w:val="0"/>
        <w:snapToGrid w:val="0"/>
        <w:spacing w:line="570" w:lineRule="exact"/>
        <w:ind w:firstLine="640" w:firstLineChars="200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打捞区2南海西北陆坡文物：</w:t>
      </w:r>
    </w:p>
    <w:p w14:paraId="3BBE5D6D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到达南海西北陆坡文物，得5分；</w:t>
      </w:r>
    </w:p>
    <w:p w14:paraId="566804DF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②</w:t>
      </w:r>
      <w:r>
        <w:rPr>
          <w:rFonts w:eastAsia="仿宋_GB2312"/>
          <w:color w:val="000000"/>
          <w:sz w:val="32"/>
          <w:szCs w:val="32"/>
        </w:rPr>
        <w:t>正确识别播报得5分；</w:t>
      </w:r>
    </w:p>
    <w:p w14:paraId="22D949F5">
      <w:pPr>
        <w:autoSpaceDE w:val="0"/>
        <w:autoSpaceDN w:val="0"/>
        <w:adjustRightInd w:val="0"/>
        <w:snapToGrid w:val="0"/>
        <w:spacing w:line="570" w:lineRule="exact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 xml:space="preserve">    </w:t>
      </w:r>
      <w:r>
        <w:rPr>
          <w:rFonts w:eastAsia="仿宋_GB2312"/>
          <w:b/>
          <w:bCs/>
          <w:color w:val="000000"/>
          <w:sz w:val="32"/>
          <w:szCs w:val="32"/>
        </w:rPr>
        <w:t>倒船入坞：</w:t>
      </w:r>
    </w:p>
    <w:p w14:paraId="16061879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1.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倒船行驶正确入坞进入终点区，得5分；</w:t>
      </w:r>
    </w:p>
    <w:p w14:paraId="53BCF475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②</w:t>
      </w:r>
      <w:r>
        <w:rPr>
          <w:rFonts w:eastAsia="仿宋_GB2312"/>
          <w:color w:val="000000"/>
          <w:sz w:val="32"/>
          <w:szCs w:val="32"/>
        </w:rPr>
        <w:t>2.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播报正确得5分；</w:t>
      </w:r>
    </w:p>
    <w:p w14:paraId="7A828152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③</w:t>
      </w:r>
      <w:r>
        <w:rPr>
          <w:rFonts w:eastAsia="仿宋_GB2312"/>
          <w:color w:val="000000"/>
          <w:sz w:val="32"/>
          <w:szCs w:val="32"/>
        </w:rPr>
        <w:t>停船位置超出停车区，压线超出扣5分；</w:t>
      </w:r>
    </w:p>
    <w:p w14:paraId="0A17679C">
      <w:pPr>
        <w:adjustRightInd w:val="0"/>
        <w:snapToGrid w:val="0"/>
        <w:spacing w:line="570" w:lineRule="exact"/>
        <w:ind w:firstLine="640" w:firstLineChars="200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时间：</w:t>
      </w:r>
    </w:p>
    <w:p w14:paraId="4071D715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智能小船从开始计时到完成任务所用时间不超过90秒，得20分，不超过120秒得10分；不超过180秒得5分。超出时间后完成的任务不算分（分数计算为范围时间内所得分数）</w:t>
      </w:r>
    </w:p>
    <w:p w14:paraId="74D90B0A">
      <w:pPr>
        <w:adjustRightInd w:val="0"/>
        <w:snapToGrid w:val="0"/>
        <w:spacing w:line="570" w:lineRule="exact"/>
        <w:ind w:firstLine="641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其他</w:t>
      </w:r>
    </w:p>
    <w:p w14:paraId="37B40604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智能小船整场采用巡线行驶，任务南海一号遗址、打捞区1、打捞区2、南海西北陆坡沉船遗址、识别必须采用图像识别的方法，巡线过程中，驶离赛场地图本轮结束，分数计算驶离赛场前的任务点分数。</w:t>
      </w:r>
    </w:p>
    <w:p w14:paraId="6847E46B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②</w:t>
      </w:r>
      <w:r>
        <w:rPr>
          <w:rFonts w:eastAsia="仿宋_GB2312"/>
          <w:color w:val="000000"/>
          <w:sz w:val="32"/>
          <w:szCs w:val="32"/>
        </w:rPr>
        <w:t>智能小船完成任务过程中不得人为触碰船体，如若触碰则视为成绩为0；比赛计时开始，选手必须离开地图区域</w:t>
      </w:r>
    </w:p>
    <w:p w14:paraId="11FF39C7">
      <w:pPr>
        <w:snapToGrid w:val="0"/>
        <w:spacing w:line="570" w:lineRule="exact"/>
        <w:ind w:firstLine="640" w:firstLineChars="200"/>
        <w:rPr>
          <w:rFonts w:ascii="黑体" w:hAnsi="黑体" w:eastAsia="黑体"/>
          <w:bCs/>
          <w:color w:val="000000"/>
          <w:sz w:val="32"/>
          <w:szCs w:val="32"/>
        </w:rPr>
      </w:pPr>
      <w:r>
        <w:rPr>
          <w:rFonts w:ascii="黑体" w:hAnsi="黑体" w:eastAsia="黑体"/>
          <w:bCs/>
          <w:color w:val="000000"/>
          <w:sz w:val="32"/>
          <w:szCs w:val="32"/>
        </w:rPr>
        <w:t>四、参赛要求</w:t>
      </w:r>
    </w:p>
    <w:p w14:paraId="41E67A17">
      <w:pPr>
        <w:adjustRightInd w:val="0"/>
        <w:snapToGrid w:val="0"/>
        <w:spacing w:line="570" w:lineRule="exact"/>
        <w:ind w:firstLine="641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参赛机器数量</w:t>
      </w:r>
    </w:p>
    <w:p w14:paraId="4CFF6089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每队仅能使用两台智能小船参与比赛，中途不得更换机器。</w:t>
      </w:r>
    </w:p>
    <w:p w14:paraId="56F42DC6">
      <w:pPr>
        <w:adjustRightInd w:val="0"/>
        <w:snapToGrid w:val="0"/>
        <w:spacing w:line="570" w:lineRule="exact"/>
        <w:ind w:firstLine="641"/>
        <w:rPr>
          <w:rFonts w:eastAsia="仿宋_GB2312"/>
          <w:b/>
          <w:bCs/>
          <w:color w:val="000000"/>
          <w:sz w:val="32"/>
          <w:szCs w:val="32"/>
        </w:rPr>
      </w:pPr>
      <w:bookmarkStart w:id="29" w:name="______"/>
      <w:bookmarkEnd w:id="29"/>
      <w:bookmarkStart w:id="30" w:name="______7"/>
      <w:bookmarkEnd w:id="30"/>
      <w:r>
        <w:rPr>
          <w:rFonts w:eastAsia="仿宋_GB2312"/>
          <w:b/>
          <w:bCs/>
          <w:color w:val="000000"/>
          <w:sz w:val="32"/>
          <w:szCs w:val="32"/>
        </w:rPr>
        <w:t>智能小船要求</w:t>
      </w:r>
    </w:p>
    <w:p w14:paraId="32564E90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材料：智能小船可以用任何不损伤比赛场地的材料制造，需考虑安全因素。</w:t>
      </w:r>
    </w:p>
    <w:p w14:paraId="6AFEDC6B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尺寸：智能小船尺寸不超过长20cm，宽16cm，高10cm。</w:t>
      </w:r>
    </w:p>
    <w:p w14:paraId="01BBC04B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bookmarkStart w:id="31" w:name="_Toc256000049"/>
      <w:r>
        <w:rPr>
          <w:rFonts w:eastAsia="仿宋_GB2312"/>
          <w:color w:val="000000"/>
          <w:sz w:val="32"/>
          <w:szCs w:val="32"/>
        </w:rPr>
        <w:t>装饰：智能小船的装饰、贴图等元素，需经过赛事主办方的审核。</w:t>
      </w:r>
      <w:bookmarkEnd w:id="31"/>
    </w:p>
    <w:p w14:paraId="4D7D40EE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电池：允许使用铅酸、锂聚合物电池，电压不得超过9v，总储能不得超过2000mah，放电功率不得超过 50w。</w:t>
      </w:r>
    </w:p>
    <w:p w14:paraId="05C548C5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bookmarkStart w:id="32" w:name="_Toc256000051"/>
      <w:r>
        <w:rPr>
          <w:rFonts w:eastAsia="仿宋_GB2312"/>
          <w:color w:val="000000"/>
          <w:sz w:val="32"/>
          <w:szCs w:val="32"/>
        </w:rPr>
        <w:t>动力：仅允许采用电力驱动，禁止使用气动、弹簧储能等方式提供动力。</w:t>
      </w:r>
      <w:bookmarkEnd w:id="32"/>
    </w:p>
    <w:p w14:paraId="15200700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bookmarkStart w:id="33" w:name="____________________3____________30w____"/>
      <w:bookmarkEnd w:id="33"/>
      <w:bookmarkStart w:id="34" w:name="_Toc256000052"/>
      <w:r>
        <w:rPr>
          <w:rFonts w:eastAsia="仿宋_GB2312"/>
          <w:color w:val="000000"/>
          <w:sz w:val="32"/>
          <w:szCs w:val="32"/>
        </w:rPr>
        <w:t>电机：每台小船底盘驱动电机数量不得超过4个，单个电机功率不超过15w</w:t>
      </w:r>
      <w:bookmarkEnd w:id="34"/>
      <w:r>
        <w:rPr>
          <w:rFonts w:eastAsia="仿宋_GB2312"/>
          <w:color w:val="000000"/>
          <w:sz w:val="32"/>
          <w:szCs w:val="32"/>
        </w:rPr>
        <w:t>。</w:t>
      </w:r>
    </w:p>
    <w:p w14:paraId="0BA439FE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bookmarkStart w:id="35" w:name="________________2_______________________"/>
      <w:bookmarkEnd w:id="35"/>
      <w:bookmarkStart w:id="36" w:name="_______________________usb______________"/>
      <w:bookmarkEnd w:id="36"/>
      <w:bookmarkStart w:id="37" w:name="_Toc256000055"/>
      <w:r>
        <w:rPr>
          <w:rFonts w:eastAsia="仿宋_GB2312"/>
          <w:color w:val="000000"/>
          <w:sz w:val="32"/>
          <w:szCs w:val="32"/>
        </w:rPr>
        <w:t>摄像头：只能使用1个摄像头，禁止使用自带识别功能的相机模块。安装位置不得高于15cm</w:t>
      </w:r>
      <w:bookmarkEnd w:id="37"/>
      <w:r>
        <w:rPr>
          <w:rFonts w:eastAsia="仿宋_GB2312"/>
          <w:color w:val="000000"/>
          <w:sz w:val="32"/>
          <w:szCs w:val="32"/>
        </w:rPr>
        <w:t>，摄像头必须使用主控板编程控制识别物体</w:t>
      </w:r>
    </w:p>
    <w:p w14:paraId="4343624D">
      <w:pPr>
        <w:snapToGrid w:val="0"/>
        <w:spacing w:line="570" w:lineRule="exact"/>
        <w:ind w:firstLine="640" w:firstLineChars="200"/>
        <w:rPr>
          <w:rFonts w:ascii="黑体" w:hAnsi="黑体" w:eastAsia="黑体"/>
          <w:bCs/>
          <w:color w:val="000000"/>
          <w:sz w:val="32"/>
          <w:szCs w:val="32"/>
        </w:rPr>
      </w:pPr>
      <w:bookmarkStart w:id="38" w:name="__________________________________6"/>
      <w:bookmarkEnd w:id="38"/>
      <w:bookmarkStart w:id="39" w:name="__________________________wifi________5G"/>
      <w:bookmarkEnd w:id="39"/>
      <w:bookmarkStart w:id="40" w:name="________________x86_____________________"/>
      <w:bookmarkEnd w:id="40"/>
      <w:bookmarkStart w:id="41" w:name="_Toc256000061"/>
      <w:r>
        <w:rPr>
          <w:rFonts w:ascii="黑体" w:hAnsi="黑体" w:eastAsia="黑体"/>
          <w:bCs/>
          <w:color w:val="000000"/>
          <w:sz w:val="32"/>
          <w:szCs w:val="32"/>
        </w:rPr>
        <w:t>五、检录标准</w:t>
      </w:r>
    </w:p>
    <w:p w14:paraId="63043320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比赛前赛队注册登记时，需要进行机器检录，具体检录内容如下：</w:t>
      </w:r>
    </w:p>
    <w:p w14:paraId="7E525A02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小船硬件结构检查：小船整体设计符合赛事规则，硬件使用符合赛事规则。</w:t>
      </w:r>
    </w:p>
    <w:p w14:paraId="4ECBBD50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电子电路检查：检查电池容量、电机功率、电路板、传感器等，确保符合赛事规则。</w:t>
      </w:r>
    </w:p>
    <w:p w14:paraId="64151582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软件检查：开机检查系统版本、程序以及通讯节点等，确保符合赛事规则。</w:t>
      </w:r>
    </w:p>
    <w:p w14:paraId="7AE645F2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装饰物检查：赛队可贴校、赛队、赛队名称等非商业性元素，可使用灯/灯带等作为信号指示或装饰。</w:t>
      </w:r>
      <w:bookmarkEnd w:id="41"/>
    </w:p>
    <w:p w14:paraId="0FE4789E">
      <w:pPr>
        <w:adjustRightInd w:val="0"/>
        <w:snapToGrid w:val="0"/>
        <w:spacing w:line="570" w:lineRule="exact"/>
        <w:ind w:firstLine="640" w:firstLineChars="200"/>
        <w:rPr>
          <w:rFonts w:eastAsia="仿宋_GB2312"/>
          <w:color w:val="000000"/>
          <w:sz w:val="32"/>
          <w:szCs w:val="32"/>
        </w:rPr>
      </w:pPr>
    </w:p>
    <w:p w14:paraId="59B999CB">
      <w:pPr>
        <w:adjustRightInd w:val="0"/>
        <w:snapToGrid w:val="0"/>
        <w:spacing w:line="540" w:lineRule="exact"/>
        <w:ind w:firstLine="641"/>
        <w:rPr>
          <w:rFonts w:eastAsia="仿宋_GB2312"/>
          <w:b/>
          <w:kern w:val="0"/>
          <w:sz w:val="32"/>
          <w:szCs w:val="32"/>
          <w:lang w:bidi="zh-CN"/>
        </w:rPr>
      </w:pPr>
      <w:r>
        <w:rPr>
          <w:rFonts w:eastAsia="仿宋_GB2312"/>
          <w:color w:val="000000"/>
          <w:sz w:val="32"/>
          <w:szCs w:val="32"/>
        </w:rPr>
        <w:br w:type="page"/>
      </w:r>
      <w:r>
        <w:rPr>
          <w:rFonts w:eastAsia="仿宋_GB2312"/>
          <w:b/>
          <w:kern w:val="0"/>
          <w:sz w:val="32"/>
          <w:szCs w:val="32"/>
          <w:lang w:bidi="zh-CN"/>
        </w:rPr>
        <w:t>B类：创索未来</w:t>
      </w:r>
    </w:p>
    <w:p w14:paraId="3D4E0907">
      <w:pPr>
        <w:pStyle w:val="2"/>
        <w:overflowPunct w:val="0"/>
        <w:autoSpaceDE w:val="0"/>
        <w:autoSpaceDN w:val="0"/>
        <w:adjustRightInd w:val="0"/>
        <w:spacing w:line="540" w:lineRule="exact"/>
        <w:ind w:firstLine="641"/>
        <w:jc w:val="both"/>
        <w:textAlignment w:val="baseline"/>
        <w:outlineLvl w:val="1"/>
        <w:rPr>
          <w:rFonts w:ascii="黑体" w:hAnsi="黑体" w:eastAsia="黑体"/>
          <w:bCs/>
          <w:snapToGrid w:val="0"/>
          <w:color w:val="000000"/>
          <w:spacing w:val="1"/>
          <w:kern w:val="0"/>
          <w:sz w:val="32"/>
          <w:szCs w:val="32"/>
          <w:lang w:eastAsia="zh-CN"/>
        </w:rPr>
      </w:pPr>
      <w:r>
        <w:rPr>
          <w:rFonts w:ascii="黑体" w:hAnsi="黑体" w:eastAsia="黑体"/>
          <w:bCs/>
          <w:snapToGrid w:val="0"/>
          <w:color w:val="000000"/>
          <w:spacing w:val="1"/>
          <w:kern w:val="0"/>
          <w:sz w:val="32"/>
          <w:szCs w:val="32"/>
          <w:lang w:eastAsia="zh-CN"/>
        </w:rPr>
        <w:t>一、参赛范围</w:t>
      </w:r>
    </w:p>
    <w:p w14:paraId="3F37FDB2">
      <w:pPr>
        <w:pStyle w:val="2"/>
        <w:overflowPunct w:val="0"/>
        <w:autoSpaceDE w:val="0"/>
        <w:autoSpaceDN w:val="0"/>
        <w:adjustRightInd w:val="0"/>
        <w:spacing w:line="540" w:lineRule="exact"/>
        <w:ind w:firstLine="641"/>
        <w:jc w:val="both"/>
        <w:textAlignment w:val="baseline"/>
        <w:outlineLvl w:val="1"/>
        <w:rPr>
          <w:rFonts w:ascii="Times New Roman" w:eastAsia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Times New Roman" w:eastAsia="仿宋_GB2312"/>
          <w:color w:val="000000"/>
          <w:kern w:val="0"/>
          <w:sz w:val="32"/>
          <w:szCs w:val="32"/>
          <w:lang w:val="en-US" w:eastAsia="zh-CN" w:bidi="ar"/>
        </w:rPr>
        <w:t>1.</w:t>
      </w:r>
      <w:r>
        <w:rPr>
          <w:rFonts w:hint="eastAsia" w:ascii="Times New Roman" w:eastAsia="仿宋_GB2312"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ascii="Times New Roman" w:hAnsi="仿宋_GB2312" w:eastAsia="仿宋_GB2312"/>
          <w:color w:val="000000"/>
          <w:kern w:val="0"/>
          <w:sz w:val="32"/>
          <w:szCs w:val="32"/>
          <w:lang w:val="en-US" w:eastAsia="zh-CN" w:bidi="ar"/>
        </w:rPr>
        <w:t>参赛组别：小学组、初中组、高中组。</w:t>
      </w:r>
    </w:p>
    <w:p w14:paraId="468E2481">
      <w:pPr>
        <w:pStyle w:val="2"/>
        <w:overflowPunct w:val="0"/>
        <w:autoSpaceDE w:val="0"/>
        <w:autoSpaceDN w:val="0"/>
        <w:adjustRightInd w:val="0"/>
        <w:spacing w:line="540" w:lineRule="exact"/>
        <w:ind w:firstLine="641"/>
        <w:jc w:val="both"/>
        <w:textAlignment w:val="baseline"/>
        <w:outlineLvl w:val="1"/>
        <w:rPr>
          <w:rFonts w:ascii="Times New Roman" w:eastAsia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Times New Roman" w:eastAsia="仿宋_GB2312"/>
          <w:color w:val="000000"/>
          <w:kern w:val="0"/>
          <w:sz w:val="32"/>
          <w:szCs w:val="32"/>
          <w:lang w:val="en-US" w:eastAsia="zh-CN" w:bidi="ar"/>
        </w:rPr>
        <w:t>2.</w:t>
      </w:r>
      <w:r>
        <w:rPr>
          <w:rFonts w:hint="eastAsia" w:ascii="Times New Roman" w:eastAsia="仿宋_GB2312"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ascii="Times New Roman" w:hAnsi="仿宋_GB2312" w:eastAsia="仿宋_GB2312"/>
          <w:color w:val="000000"/>
          <w:kern w:val="0"/>
          <w:sz w:val="32"/>
          <w:szCs w:val="32"/>
          <w:lang w:val="en-US" w:eastAsia="zh-CN" w:bidi="ar"/>
        </w:rPr>
        <w:t>参赛人数：</w:t>
      </w:r>
      <w:r>
        <w:rPr>
          <w:rFonts w:ascii="Times New Roman" w:eastAsia="仿宋_GB2312"/>
          <w:color w:val="000000"/>
          <w:kern w:val="0"/>
          <w:sz w:val="32"/>
          <w:szCs w:val="32"/>
          <w:lang w:val="en-US" w:eastAsia="zh-CN" w:bidi="ar"/>
        </w:rPr>
        <w:t>2</w:t>
      </w:r>
      <w:r>
        <w:rPr>
          <w:rFonts w:ascii="Times New Roman" w:hAnsi="仿宋_GB2312" w:eastAsia="仿宋_GB2312"/>
          <w:color w:val="000000"/>
          <w:kern w:val="0"/>
          <w:sz w:val="32"/>
          <w:szCs w:val="32"/>
          <w:lang w:val="en-US" w:eastAsia="zh-CN" w:bidi="ar"/>
        </w:rPr>
        <w:t>人</w:t>
      </w:r>
      <w:r>
        <w:rPr>
          <w:rFonts w:ascii="Times New Roman" w:eastAsia="仿宋_GB2312"/>
          <w:color w:val="000000"/>
          <w:kern w:val="0"/>
          <w:sz w:val="32"/>
          <w:szCs w:val="32"/>
          <w:lang w:val="en-US" w:eastAsia="zh-CN" w:bidi="ar"/>
        </w:rPr>
        <w:t>/</w:t>
      </w:r>
      <w:r>
        <w:rPr>
          <w:rFonts w:ascii="Times New Roman" w:hAnsi="仿宋_GB2312" w:eastAsia="仿宋_GB2312"/>
          <w:color w:val="000000"/>
          <w:kern w:val="0"/>
          <w:sz w:val="32"/>
          <w:szCs w:val="32"/>
          <w:lang w:val="en-US" w:eastAsia="zh-CN" w:bidi="ar"/>
        </w:rPr>
        <w:t>队伍（缺员视为弃赛）。</w:t>
      </w:r>
    </w:p>
    <w:p w14:paraId="5BB08B0B">
      <w:pPr>
        <w:overflowPunct w:val="0"/>
        <w:autoSpaceDE w:val="0"/>
        <w:autoSpaceDN w:val="0"/>
        <w:adjustRightInd w:val="0"/>
        <w:snapToGrid w:val="0"/>
        <w:spacing w:line="540" w:lineRule="exact"/>
        <w:ind w:firstLine="641"/>
        <w:rPr>
          <w:rFonts w:eastAsia="仿宋_GB2312"/>
          <w:color w:val="000000"/>
          <w:kern w:val="0"/>
          <w:sz w:val="32"/>
          <w:szCs w:val="32"/>
          <w:lang w:bidi="ar"/>
        </w:rPr>
      </w:pPr>
      <w:r>
        <w:rPr>
          <w:rFonts w:eastAsia="仿宋_GB2312"/>
          <w:color w:val="000000"/>
          <w:kern w:val="0"/>
          <w:sz w:val="32"/>
          <w:szCs w:val="32"/>
          <w:lang w:bidi="ar"/>
        </w:rPr>
        <w:t>3.</w:t>
      </w:r>
      <w:r>
        <w:rPr>
          <w:rFonts w:hint="eastAsia" w:eastAsia="仿宋_GB2312"/>
          <w:color w:val="000000"/>
          <w:kern w:val="0"/>
          <w:sz w:val="32"/>
          <w:szCs w:val="32"/>
          <w:lang w:bidi="ar"/>
        </w:rPr>
        <w:t xml:space="preserve"> </w:t>
      </w:r>
      <w:r>
        <w:rPr>
          <w:rFonts w:hAnsi="仿宋_GB2312" w:eastAsia="仿宋_GB2312"/>
          <w:color w:val="000000"/>
          <w:kern w:val="0"/>
          <w:sz w:val="32"/>
          <w:szCs w:val="32"/>
          <w:lang w:bidi="ar"/>
        </w:rPr>
        <w:t>每校最多申报</w:t>
      </w:r>
      <w:r>
        <w:rPr>
          <w:rFonts w:eastAsia="仿宋_GB2312"/>
          <w:color w:val="000000"/>
          <w:kern w:val="0"/>
          <w:sz w:val="32"/>
          <w:szCs w:val="32"/>
          <w:lang w:bidi="ar"/>
        </w:rPr>
        <w:t>3</w:t>
      </w:r>
      <w:r>
        <w:rPr>
          <w:rFonts w:hAnsi="仿宋_GB2312" w:eastAsia="仿宋_GB2312"/>
          <w:color w:val="000000"/>
          <w:kern w:val="0"/>
          <w:sz w:val="32"/>
          <w:szCs w:val="32"/>
          <w:lang w:bidi="ar"/>
        </w:rPr>
        <w:t>支队伍，有区赛区域名额由区组委会控制数量。</w:t>
      </w:r>
    </w:p>
    <w:p w14:paraId="391AF388">
      <w:pPr>
        <w:pStyle w:val="2"/>
        <w:overflowPunct w:val="0"/>
        <w:autoSpaceDE w:val="0"/>
        <w:autoSpaceDN w:val="0"/>
        <w:adjustRightInd w:val="0"/>
        <w:spacing w:line="540" w:lineRule="exact"/>
        <w:ind w:firstLine="641"/>
        <w:jc w:val="both"/>
        <w:textAlignment w:val="baseline"/>
        <w:outlineLvl w:val="1"/>
        <w:rPr>
          <w:rFonts w:ascii="黑体" w:hAnsi="黑体" w:eastAsia="黑体"/>
          <w:bCs/>
          <w:snapToGrid w:val="0"/>
          <w:color w:val="000000"/>
          <w:spacing w:val="1"/>
          <w:kern w:val="0"/>
          <w:sz w:val="32"/>
          <w:szCs w:val="32"/>
          <w:lang w:eastAsia="zh-CN"/>
        </w:rPr>
      </w:pPr>
      <w:r>
        <w:rPr>
          <w:rFonts w:ascii="黑体" w:hAnsi="黑体" w:eastAsia="黑体"/>
          <w:bCs/>
          <w:snapToGrid w:val="0"/>
          <w:color w:val="000000"/>
          <w:spacing w:val="1"/>
          <w:kern w:val="0"/>
          <w:sz w:val="32"/>
          <w:szCs w:val="32"/>
          <w:lang w:eastAsia="zh-CN"/>
        </w:rPr>
        <w:t>二、竞赛主题</w:t>
      </w:r>
    </w:p>
    <w:p w14:paraId="68571548">
      <w:pPr>
        <w:pStyle w:val="2"/>
        <w:overflowPunct w:val="0"/>
        <w:autoSpaceDE w:val="0"/>
        <w:autoSpaceDN w:val="0"/>
        <w:adjustRightInd w:val="0"/>
        <w:spacing w:line="540" w:lineRule="exact"/>
        <w:ind w:firstLine="641"/>
        <w:jc w:val="both"/>
        <w:textAlignment w:val="baseline"/>
        <w:outlineLvl w:val="1"/>
        <w:rPr>
          <w:rFonts w:ascii="Times New Roman" w:eastAsia="仿宋_GB2312"/>
          <w:b/>
          <w:bCs/>
          <w:snapToGrid w:val="0"/>
          <w:color w:val="000000"/>
          <w:spacing w:val="1"/>
          <w:kern w:val="0"/>
          <w:sz w:val="32"/>
          <w:szCs w:val="32"/>
          <w:lang w:eastAsia="zh-CN"/>
        </w:rPr>
      </w:pPr>
      <w:r>
        <w:rPr>
          <w:rFonts w:ascii="Times New Roman" w:eastAsia="仿宋_GB2312"/>
          <w:b/>
          <w:bCs/>
          <w:snapToGrid w:val="0"/>
          <w:color w:val="000000"/>
          <w:spacing w:val="1"/>
          <w:kern w:val="0"/>
          <w:sz w:val="32"/>
          <w:szCs w:val="32"/>
          <w:lang w:eastAsia="zh-CN"/>
        </w:rPr>
        <w:t>极速救援</w:t>
      </w:r>
    </w:p>
    <w:p w14:paraId="601B5544">
      <w:pPr>
        <w:pStyle w:val="2"/>
        <w:overflowPunct w:val="0"/>
        <w:autoSpaceDE w:val="0"/>
        <w:autoSpaceDN w:val="0"/>
        <w:adjustRightInd w:val="0"/>
        <w:spacing w:line="540" w:lineRule="exact"/>
        <w:ind w:firstLine="641"/>
        <w:jc w:val="both"/>
        <w:textAlignment w:val="baseline"/>
        <w:outlineLvl w:val="1"/>
        <w:rPr>
          <w:rFonts w:ascii="黑体" w:hAnsi="黑体" w:eastAsia="黑体"/>
          <w:bCs/>
          <w:snapToGrid w:val="0"/>
          <w:color w:val="000000"/>
          <w:spacing w:val="1"/>
          <w:kern w:val="0"/>
          <w:sz w:val="32"/>
          <w:szCs w:val="32"/>
          <w:lang w:eastAsia="zh-CN"/>
        </w:rPr>
      </w:pPr>
      <w:r>
        <w:rPr>
          <w:rFonts w:ascii="黑体" w:hAnsi="黑体" w:eastAsia="黑体"/>
          <w:bCs/>
          <w:snapToGrid w:val="0"/>
          <w:color w:val="000000"/>
          <w:spacing w:val="1"/>
          <w:kern w:val="0"/>
          <w:sz w:val="32"/>
          <w:szCs w:val="32"/>
          <w:lang w:eastAsia="zh-CN"/>
        </w:rPr>
        <w:t>三、竞赛环境</w:t>
      </w:r>
    </w:p>
    <w:p w14:paraId="3049D15A">
      <w:pPr>
        <w:pStyle w:val="2"/>
        <w:overflowPunct w:val="0"/>
        <w:autoSpaceDE w:val="0"/>
        <w:autoSpaceDN w:val="0"/>
        <w:adjustRightInd w:val="0"/>
        <w:spacing w:line="540" w:lineRule="exact"/>
        <w:ind w:firstLine="641"/>
        <w:jc w:val="both"/>
        <w:textAlignment w:val="baseline"/>
        <w:outlineLvl w:val="1"/>
        <w:rPr>
          <w:rFonts w:ascii="Times New Roman" w:eastAsia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Times New Roman" w:hAnsi="仿宋_GB2312" w:eastAsia="仿宋_GB2312"/>
          <w:color w:val="000000"/>
          <w:kern w:val="0"/>
          <w:sz w:val="32"/>
          <w:szCs w:val="32"/>
          <w:lang w:val="en-US" w:eastAsia="zh-CN" w:bidi="ar"/>
        </w:rPr>
        <w:t>（一）编程系统：能够完成竞赛的编程软件。</w:t>
      </w:r>
    </w:p>
    <w:p w14:paraId="31C3A13B">
      <w:pPr>
        <w:pStyle w:val="2"/>
        <w:overflowPunct w:val="0"/>
        <w:autoSpaceDE w:val="0"/>
        <w:autoSpaceDN w:val="0"/>
        <w:adjustRightInd w:val="0"/>
        <w:spacing w:line="540" w:lineRule="exact"/>
        <w:ind w:firstLine="641"/>
        <w:jc w:val="both"/>
        <w:textAlignment w:val="baseline"/>
        <w:outlineLvl w:val="1"/>
        <w:rPr>
          <w:rFonts w:ascii="Times New Roman" w:eastAsia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Times New Roman" w:hAnsi="仿宋_GB2312" w:eastAsia="仿宋_GB2312"/>
          <w:color w:val="000000"/>
          <w:kern w:val="0"/>
          <w:sz w:val="32"/>
          <w:szCs w:val="32"/>
          <w:lang w:val="en-US" w:eastAsia="zh-CN" w:bidi="ar"/>
        </w:rPr>
        <w:t>（二）编程电脑：参赛选手自带竞赛用笔记本电脑或</w:t>
      </w:r>
      <w:r>
        <w:rPr>
          <w:rFonts w:ascii="Times New Roman" w:eastAsia="仿宋_GB2312"/>
          <w:color w:val="000000"/>
          <w:kern w:val="0"/>
          <w:sz w:val="32"/>
          <w:szCs w:val="32"/>
          <w:lang w:val="en-US" w:eastAsia="zh-CN" w:bidi="ar"/>
        </w:rPr>
        <w:t>iPad</w:t>
      </w:r>
      <w:r>
        <w:rPr>
          <w:rFonts w:ascii="Times New Roman" w:hAnsi="仿宋_GB2312" w:eastAsia="仿宋_GB2312"/>
          <w:color w:val="000000"/>
          <w:kern w:val="0"/>
          <w:sz w:val="32"/>
          <w:szCs w:val="32"/>
          <w:lang w:val="en-US" w:eastAsia="zh-CN" w:bidi="ar"/>
        </w:rPr>
        <w:t>，</w:t>
      </w:r>
      <w:r>
        <w:rPr>
          <w:rFonts w:ascii="Times New Roman" w:hAnsi="仿宋_GB2312" w:eastAsia="仿宋_GB2312"/>
          <w:color w:val="000000"/>
          <w:spacing w:val="-6"/>
          <w:kern w:val="0"/>
          <w:sz w:val="32"/>
          <w:szCs w:val="32"/>
          <w:lang w:val="en-US" w:eastAsia="zh-CN" w:bidi="ar"/>
        </w:rPr>
        <w:t>并保证比赛时笔记本电脑或</w:t>
      </w:r>
      <w:r>
        <w:rPr>
          <w:rFonts w:ascii="Times New Roman" w:eastAsia="仿宋_GB2312"/>
          <w:color w:val="000000"/>
          <w:spacing w:val="-6"/>
          <w:kern w:val="0"/>
          <w:sz w:val="32"/>
          <w:szCs w:val="32"/>
          <w:lang w:val="en-US" w:eastAsia="zh-CN" w:bidi="ar"/>
        </w:rPr>
        <w:t>iPad</w:t>
      </w:r>
      <w:r>
        <w:rPr>
          <w:rFonts w:ascii="Times New Roman" w:hAnsi="仿宋_GB2312" w:eastAsia="仿宋_GB2312"/>
          <w:color w:val="000000"/>
          <w:spacing w:val="-6"/>
          <w:kern w:val="0"/>
          <w:sz w:val="32"/>
          <w:szCs w:val="32"/>
          <w:lang w:val="en-US" w:eastAsia="zh-CN" w:bidi="ar"/>
        </w:rPr>
        <w:t>电量充足（可自备移动充电设备）。</w:t>
      </w:r>
    </w:p>
    <w:p w14:paraId="49DB0CCA">
      <w:pPr>
        <w:pStyle w:val="2"/>
        <w:overflowPunct w:val="0"/>
        <w:autoSpaceDE w:val="0"/>
        <w:autoSpaceDN w:val="0"/>
        <w:adjustRightInd w:val="0"/>
        <w:spacing w:line="540" w:lineRule="exact"/>
        <w:ind w:firstLine="641"/>
        <w:jc w:val="both"/>
        <w:textAlignment w:val="baseline"/>
        <w:outlineLvl w:val="1"/>
        <w:rPr>
          <w:rFonts w:ascii="Times New Roman" w:eastAsia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Times New Roman" w:hAnsi="仿宋_GB2312" w:eastAsia="仿宋_GB2312"/>
          <w:color w:val="000000"/>
          <w:kern w:val="0"/>
          <w:sz w:val="32"/>
          <w:szCs w:val="32"/>
          <w:lang w:val="en-US" w:eastAsia="zh-CN" w:bidi="ar"/>
        </w:rPr>
        <w:t>（三）禁带设备：</w:t>
      </w:r>
      <w:r>
        <w:rPr>
          <w:rFonts w:ascii="Times New Roman" w:eastAsia="仿宋_GB2312"/>
          <w:color w:val="000000"/>
          <w:kern w:val="0"/>
          <w:sz w:val="32"/>
          <w:szCs w:val="32"/>
          <w:lang w:val="en-US" w:eastAsia="zh-CN" w:bidi="ar"/>
        </w:rPr>
        <w:t>U</w:t>
      </w:r>
      <w:r>
        <w:rPr>
          <w:rFonts w:ascii="Times New Roman" w:hAnsi="仿宋_GB2312" w:eastAsia="仿宋_GB2312"/>
          <w:color w:val="000000"/>
          <w:kern w:val="0"/>
          <w:sz w:val="32"/>
          <w:szCs w:val="32"/>
          <w:lang w:val="en-US" w:eastAsia="zh-CN" w:bidi="ar"/>
        </w:rPr>
        <w:t>盘、手机、对讲机、带通信或存储功能的手表（环）等。</w:t>
      </w:r>
    </w:p>
    <w:p w14:paraId="3B5E3868">
      <w:pPr>
        <w:pStyle w:val="2"/>
        <w:overflowPunct w:val="0"/>
        <w:autoSpaceDE w:val="0"/>
        <w:autoSpaceDN w:val="0"/>
        <w:adjustRightInd w:val="0"/>
        <w:spacing w:line="540" w:lineRule="exact"/>
        <w:ind w:firstLine="641"/>
        <w:jc w:val="both"/>
        <w:textAlignment w:val="baseline"/>
        <w:outlineLvl w:val="1"/>
        <w:rPr>
          <w:rFonts w:ascii="Times New Roman" w:eastAsia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Times New Roman" w:hAnsi="仿宋_GB2312" w:eastAsia="仿宋_GB2312"/>
          <w:color w:val="000000"/>
          <w:kern w:val="0"/>
          <w:sz w:val="32"/>
          <w:szCs w:val="32"/>
          <w:lang w:val="en-US" w:eastAsia="en-US" w:bidi="ar"/>
        </w:rPr>
        <w:t>（四）竞赛场地</w:t>
      </w:r>
    </w:p>
    <w:p w14:paraId="45357FA3">
      <w:pPr>
        <w:pStyle w:val="2"/>
        <w:widowControl/>
        <w:kinsoku w:val="0"/>
        <w:autoSpaceDE w:val="0"/>
        <w:autoSpaceDN w:val="0"/>
        <w:adjustRightInd w:val="0"/>
        <w:spacing w:before="94" w:line="227" w:lineRule="auto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drawing>
          <wp:inline distT="0" distB="0" distL="114300" distR="114300">
            <wp:extent cx="1981200" cy="2507615"/>
            <wp:effectExtent l="0" t="0" r="0" b="6985"/>
            <wp:docPr id="2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C49C0">
      <w:pPr>
        <w:pStyle w:val="2"/>
        <w:autoSpaceDE w:val="0"/>
        <w:autoSpaceDN w:val="0"/>
        <w:adjustRightInd w:val="0"/>
        <w:spacing w:line="480" w:lineRule="exac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示意图</w:t>
      </w:r>
    </w:p>
    <w:p w14:paraId="644DE3B6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场地尺寸为长140cm×宽100cm</w:t>
      </w:r>
      <w:r>
        <w:rPr>
          <w:rFonts w:hint="eastAsia" w:eastAsia="仿宋_GB2312"/>
          <w:color w:val="000000"/>
          <w:sz w:val="32"/>
          <w:szCs w:val="32"/>
        </w:rPr>
        <w:t>（</w:t>
      </w:r>
      <w:r>
        <w:rPr>
          <w:rFonts w:eastAsia="仿宋_GB2312"/>
          <w:color w:val="000000"/>
          <w:sz w:val="32"/>
          <w:szCs w:val="32"/>
        </w:rPr>
        <w:t>±1%</w:t>
      </w:r>
      <w:r>
        <w:rPr>
          <w:rFonts w:hint="eastAsia" w:eastAsia="仿宋_GB2312"/>
          <w:color w:val="000000"/>
          <w:sz w:val="32"/>
          <w:szCs w:val="32"/>
        </w:rPr>
        <w:t>）</w:t>
      </w:r>
      <w:r>
        <w:rPr>
          <w:rFonts w:eastAsia="仿宋_GB2312"/>
          <w:color w:val="000000"/>
          <w:sz w:val="32"/>
          <w:szCs w:val="32"/>
        </w:rPr>
        <w:t>，由330个尺寸均为6cm的方格组成。</w:t>
      </w:r>
    </w:p>
    <w:p w14:paraId="1D57D60B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场地包含道路救援区、火灾区、物资区、泄洪区各一处，救援营地两处，三个起点及一个终点。</w:t>
      </w:r>
    </w:p>
    <w:p w14:paraId="65FE79A3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3.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场地中间的河流上分布有三座桥梁，示意图如下：</w:t>
      </w:r>
    </w:p>
    <w:p w14:paraId="0BDDE23D">
      <w:pPr>
        <w:pStyle w:val="2"/>
        <w:widowControl/>
        <w:kinsoku w:val="0"/>
        <w:autoSpaceDE w:val="0"/>
        <w:autoSpaceDN w:val="0"/>
        <w:adjustRightInd w:val="0"/>
        <w:spacing w:before="94" w:line="227" w:lineRule="auto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position w:val="-27"/>
        </w:rPr>
        <w:drawing>
          <wp:inline distT="0" distB="0" distL="114300" distR="114300">
            <wp:extent cx="5265420" cy="980440"/>
            <wp:effectExtent l="0" t="0" r="11430" b="10160"/>
            <wp:docPr id="2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307E9">
      <w:pPr>
        <w:adjustRightInd w:val="0"/>
        <w:snapToGrid w:val="0"/>
        <w:spacing w:line="570" w:lineRule="exact"/>
        <w:ind w:firstLine="641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四</w:t>
      </w:r>
      <w:r>
        <w:rPr>
          <w:rFonts w:ascii="黑体" w:hAnsi="黑体" w:eastAsia="黑体"/>
          <w:color w:val="000000"/>
          <w:sz w:val="32"/>
          <w:szCs w:val="32"/>
        </w:rPr>
        <w:t>、竞赛器材</w:t>
      </w:r>
    </w:p>
    <w:p w14:paraId="06B442A9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每支队伍2台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。</w:t>
      </w:r>
    </w:p>
    <w:p w14:paraId="270B14B6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允许使用小颗粒积木、低结构材料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进行改装（如外 壳等），改装后尺寸不超过长8cm×宽8cm×高8cm，以最长点为准。</w:t>
      </w:r>
    </w:p>
    <w:p w14:paraId="7780AF5F">
      <w:pPr>
        <w:adjustRightInd w:val="0"/>
        <w:snapToGrid w:val="0"/>
        <w:spacing w:line="570" w:lineRule="exact"/>
        <w:ind w:firstLine="641"/>
        <w:rPr>
          <w:rFonts w:hint="eastAsia"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3.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现场编程开始前，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控制器内不得有任何程序。</w:t>
      </w:r>
    </w:p>
    <w:p w14:paraId="586715DC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4.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编程语言：</w:t>
      </w:r>
    </w:p>
    <w:p w14:paraId="11676C48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小学组：图形化编程</w:t>
      </w:r>
    </w:p>
    <w:p w14:paraId="4CC37AA4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初、高中组：高级编程语言（建议使用Python）</w:t>
      </w:r>
    </w:p>
    <w:p w14:paraId="4175EE97">
      <w:pPr>
        <w:pStyle w:val="2"/>
        <w:overflowPunct w:val="0"/>
        <w:autoSpaceDE w:val="0"/>
        <w:autoSpaceDN w:val="0"/>
        <w:adjustRightInd w:val="0"/>
        <w:spacing w:line="540" w:lineRule="exact"/>
        <w:ind w:firstLine="641"/>
        <w:jc w:val="both"/>
        <w:textAlignment w:val="baseline"/>
        <w:outlineLvl w:val="1"/>
        <w:rPr>
          <w:rFonts w:ascii="黑体" w:hAnsi="黑体" w:eastAsia="黑体"/>
          <w:bCs/>
          <w:snapToGrid w:val="0"/>
          <w:color w:val="000000"/>
          <w:spacing w:val="1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/>
          <w:bCs/>
          <w:snapToGrid w:val="0"/>
          <w:color w:val="000000"/>
          <w:spacing w:val="1"/>
          <w:kern w:val="0"/>
          <w:sz w:val="32"/>
          <w:szCs w:val="32"/>
          <w:lang w:eastAsia="zh-CN"/>
        </w:rPr>
        <w:t>五</w:t>
      </w:r>
      <w:r>
        <w:rPr>
          <w:rFonts w:ascii="黑体" w:hAnsi="黑体" w:eastAsia="黑体"/>
          <w:bCs/>
          <w:snapToGrid w:val="0"/>
          <w:color w:val="000000"/>
          <w:spacing w:val="1"/>
          <w:kern w:val="0"/>
          <w:sz w:val="32"/>
          <w:szCs w:val="32"/>
          <w:lang w:eastAsia="zh-CN"/>
        </w:rPr>
        <w:t>、竞赛任务</w:t>
      </w:r>
    </w:p>
    <w:p w14:paraId="5370C4A9">
      <w:pPr>
        <w:adjustRightInd w:val="0"/>
        <w:snapToGrid w:val="0"/>
        <w:spacing w:line="570" w:lineRule="exact"/>
        <w:ind w:firstLine="641"/>
        <w:rPr>
          <w:rFonts w:hint="eastAsia" w:ascii="楷体_GB2312" w:eastAsia="楷体_GB2312"/>
          <w:b/>
          <w:color w:val="000000"/>
          <w:sz w:val="32"/>
          <w:szCs w:val="32"/>
        </w:rPr>
      </w:pPr>
      <w:r>
        <w:rPr>
          <w:rFonts w:hint="eastAsia" w:ascii="楷体_GB2312" w:eastAsia="楷体_GB2312"/>
          <w:b/>
          <w:color w:val="000000"/>
          <w:sz w:val="32"/>
          <w:szCs w:val="32"/>
        </w:rPr>
        <w:t>（一）任务概述</w:t>
      </w:r>
    </w:p>
    <w:p w14:paraId="629E85BF">
      <w:pPr>
        <w:adjustRightInd w:val="0"/>
        <w:snapToGrid w:val="0"/>
        <w:spacing w:line="570" w:lineRule="exact"/>
        <w:ind w:firstLine="641"/>
        <w:rPr>
          <w:rFonts w:eastAsia="仿宋_GB2312"/>
          <w:b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1.</w:t>
      </w:r>
      <w:r>
        <w:rPr>
          <w:rFonts w:hint="eastAsia" w:eastAsia="仿宋_GB2312"/>
          <w:b/>
          <w:color w:val="000000"/>
          <w:sz w:val="32"/>
          <w:szCs w:val="32"/>
        </w:rPr>
        <w:t xml:space="preserve"> </w:t>
      </w:r>
      <w:r>
        <w:rPr>
          <w:rFonts w:eastAsia="仿宋_GB2312"/>
          <w:b/>
          <w:color w:val="000000"/>
          <w:sz w:val="32"/>
          <w:szCs w:val="32"/>
        </w:rPr>
        <w:t>小学组</w:t>
      </w:r>
    </w:p>
    <w:p w14:paraId="4D54B1D6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1辆救援车从起点出发，完成道路救援任务后，与被救援车完成火灾救援任务4次、物资分配任务3次、开闸泄洪任务，最后，2辆车全部到达终点。</w:t>
      </w:r>
    </w:p>
    <w:p w14:paraId="11FCCB04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注：火灾救援、物资分配、开闸泄洪任务均须共同完成，顺序 由选手自定。</w:t>
      </w:r>
    </w:p>
    <w:p w14:paraId="63DB7FD7">
      <w:pPr>
        <w:adjustRightInd w:val="0"/>
        <w:snapToGrid w:val="0"/>
        <w:spacing w:line="570" w:lineRule="exact"/>
        <w:ind w:firstLine="641"/>
        <w:rPr>
          <w:rFonts w:eastAsia="仿宋_GB2312"/>
          <w:b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2.</w:t>
      </w:r>
      <w:r>
        <w:rPr>
          <w:rFonts w:hint="eastAsia" w:eastAsia="仿宋_GB2312"/>
          <w:b/>
          <w:color w:val="000000"/>
          <w:sz w:val="32"/>
          <w:szCs w:val="32"/>
        </w:rPr>
        <w:t xml:space="preserve"> </w:t>
      </w:r>
      <w:r>
        <w:rPr>
          <w:rFonts w:eastAsia="仿宋_GB2312"/>
          <w:b/>
          <w:color w:val="000000"/>
          <w:sz w:val="32"/>
          <w:szCs w:val="32"/>
        </w:rPr>
        <w:t>初中组</w:t>
      </w:r>
    </w:p>
    <w:p w14:paraId="6A6E199E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1辆救援车从起点出发，完成道路救援任务后，与被救援车完成火灾救援任务5次、物资分配任务4次、开闸泄洪任务，最后，2辆车全部到达终点。</w:t>
      </w:r>
    </w:p>
    <w:p w14:paraId="1BF93CEA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注：火灾救援、物资分配任务须分工完成，开闸泄洪任务须共同完成；顺序由选手自定。</w:t>
      </w:r>
    </w:p>
    <w:p w14:paraId="62DC9AF0">
      <w:pPr>
        <w:adjustRightInd w:val="0"/>
        <w:snapToGrid w:val="0"/>
        <w:spacing w:line="570" w:lineRule="exact"/>
        <w:ind w:firstLine="641"/>
        <w:rPr>
          <w:rFonts w:eastAsia="仿宋_GB2312"/>
          <w:b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3.</w:t>
      </w:r>
      <w:r>
        <w:rPr>
          <w:rFonts w:hint="eastAsia" w:eastAsia="仿宋_GB2312"/>
          <w:b/>
          <w:color w:val="000000"/>
          <w:sz w:val="32"/>
          <w:szCs w:val="32"/>
        </w:rPr>
        <w:t xml:space="preserve"> </w:t>
      </w:r>
      <w:r>
        <w:rPr>
          <w:rFonts w:eastAsia="仿宋_GB2312"/>
          <w:b/>
          <w:color w:val="000000"/>
          <w:sz w:val="32"/>
          <w:szCs w:val="32"/>
        </w:rPr>
        <w:t>高中组</w:t>
      </w:r>
    </w:p>
    <w:p w14:paraId="46D0FE6E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2辆救援车从不同的起点同时出发，协作完成道路救援任务、火 灾救援任务6次、物资分配任务5次、开闸泄洪任务，最后 ，2辆车全部到达终点。</w:t>
      </w:r>
    </w:p>
    <w:p w14:paraId="4A51E56E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注：火灾救援、物资分配任务可分工完成，亦可共同完成；开闸泄洪任务须共同完成；顺序由选手自定。</w:t>
      </w:r>
    </w:p>
    <w:p w14:paraId="5AA1700F">
      <w:pPr>
        <w:adjustRightInd w:val="0"/>
        <w:snapToGrid w:val="0"/>
        <w:spacing w:line="570" w:lineRule="exact"/>
        <w:ind w:firstLine="641"/>
        <w:rPr>
          <w:rFonts w:hint="eastAsia" w:ascii="楷体_GB2312" w:eastAsia="楷体_GB2312"/>
          <w:b/>
          <w:color w:val="000000"/>
          <w:sz w:val="32"/>
          <w:szCs w:val="32"/>
        </w:rPr>
      </w:pPr>
      <w:r>
        <w:rPr>
          <w:rFonts w:hint="eastAsia" w:ascii="楷体_GB2312" w:eastAsia="楷体_GB2312"/>
          <w:b/>
          <w:color w:val="000000"/>
          <w:sz w:val="32"/>
          <w:szCs w:val="32"/>
        </w:rPr>
        <w:t>（二）任务分解</w:t>
      </w:r>
    </w:p>
    <w:p w14:paraId="66A33C81">
      <w:pPr>
        <w:adjustRightInd w:val="0"/>
        <w:snapToGrid w:val="0"/>
        <w:spacing w:line="570" w:lineRule="exact"/>
        <w:ind w:firstLine="641"/>
        <w:rPr>
          <w:rFonts w:eastAsia="仿宋_GB2312"/>
          <w:b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1.</w:t>
      </w:r>
      <w:r>
        <w:rPr>
          <w:rFonts w:hint="eastAsia" w:eastAsia="仿宋_GB2312"/>
          <w:b/>
          <w:color w:val="000000"/>
          <w:sz w:val="32"/>
          <w:szCs w:val="32"/>
        </w:rPr>
        <w:t xml:space="preserve"> </w:t>
      </w:r>
      <w:r>
        <w:rPr>
          <w:rFonts w:eastAsia="仿宋_GB2312"/>
          <w:b/>
          <w:color w:val="000000"/>
          <w:sz w:val="32"/>
          <w:szCs w:val="32"/>
        </w:rPr>
        <w:t>车辆启动</w:t>
      </w:r>
    </w:p>
    <w:p w14:paraId="7480E3E2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救援车辆驶离起点且车身垂直投影完全在起点区外视为成功。</w:t>
      </w:r>
    </w:p>
    <w:p w14:paraId="6428BF81">
      <w:pPr>
        <w:adjustRightInd w:val="0"/>
        <w:snapToGrid w:val="0"/>
        <w:spacing w:line="570" w:lineRule="exact"/>
        <w:ind w:firstLine="641"/>
        <w:rPr>
          <w:rFonts w:eastAsia="仿宋_GB2312"/>
          <w:b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2.</w:t>
      </w:r>
      <w:r>
        <w:rPr>
          <w:rFonts w:hint="eastAsia" w:eastAsia="仿宋_GB2312"/>
          <w:b/>
          <w:color w:val="000000"/>
          <w:sz w:val="32"/>
          <w:szCs w:val="32"/>
        </w:rPr>
        <w:t xml:space="preserve"> </w:t>
      </w:r>
      <w:r>
        <w:rPr>
          <w:rFonts w:eastAsia="仿宋_GB2312"/>
          <w:b/>
          <w:color w:val="000000"/>
          <w:sz w:val="32"/>
          <w:szCs w:val="32"/>
        </w:rPr>
        <w:t>道路救援</w:t>
      </w:r>
    </w:p>
    <w:p w14:paraId="29A697E0">
      <w:pPr>
        <w:adjustRightInd w:val="0"/>
        <w:snapToGrid w:val="0"/>
        <w:spacing w:line="570" w:lineRule="exact"/>
        <w:ind w:firstLine="641"/>
        <w:rPr>
          <w:rFonts w:hint="eastAsia"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救援车到达道路救援区“牵引”位置静止，然后，“牵引”初始 位置的被救援车沿虚线运行（两车动态间距始终不超过1个方格）至维修厂静止，且被救援车垂直投影完全在维修厂内视为成功，示意图如下：</w:t>
      </w:r>
    </w:p>
    <w:p w14:paraId="3E570DDD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</w:p>
    <w:tbl>
      <w:tblPr>
        <w:tblStyle w:val="5"/>
        <w:tblW w:w="0" w:type="auto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68"/>
        <w:gridCol w:w="1517"/>
        <w:gridCol w:w="1544"/>
      </w:tblGrid>
      <w:tr w14:paraId="38353A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6" w:hRule="atLeast"/>
          <w:jc w:val="center"/>
        </w:trPr>
        <w:tc>
          <w:tcPr>
            <w:tcW w:w="5468" w:type="dxa"/>
            <w:vMerge w:val="restart"/>
            <w:tcBorders>
              <w:bottom w:val="nil"/>
            </w:tcBorders>
            <w:noWrap w:val="0"/>
            <w:vAlign w:val="top"/>
          </w:tcPr>
          <w:p w14:paraId="1F3AB98A">
            <w:pPr>
              <w:spacing w:before="5" w:line="5800" w:lineRule="exact"/>
              <w:ind w:firstLine="113"/>
              <w:jc w:val="center"/>
            </w:pPr>
            <w:r>
              <w:rPr>
                <w:position w:val="-116"/>
              </w:rPr>
              <w:drawing>
                <wp:inline distT="0" distB="0" distL="114300" distR="114300">
                  <wp:extent cx="3327400" cy="3683000"/>
                  <wp:effectExtent l="0" t="0" r="6350" b="12700"/>
                  <wp:docPr id="14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797232">
            <w:pPr>
              <w:spacing w:before="28" w:line="211" w:lineRule="auto"/>
              <w:ind w:left="2199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ascii="仿宋" w:hAnsi="仿宋" w:eastAsia="仿宋" w:cs="仿宋"/>
                <w:spacing w:val="-3"/>
                <w:sz w:val="22"/>
                <w:szCs w:val="22"/>
              </w:rPr>
              <w:t>道路救援区</w:t>
            </w:r>
          </w:p>
        </w:tc>
        <w:tc>
          <w:tcPr>
            <w:tcW w:w="1517" w:type="dxa"/>
            <w:tcBorders>
              <w:bottom w:val="nil"/>
              <w:right w:val="nil"/>
            </w:tcBorders>
            <w:noWrap w:val="0"/>
            <w:vAlign w:val="top"/>
          </w:tcPr>
          <w:p w14:paraId="239240E6">
            <w:pPr>
              <w:spacing w:before="193" w:line="960" w:lineRule="exact"/>
              <w:ind w:firstLine="524"/>
            </w:pPr>
            <w:r>
              <w:rPr>
                <w:position w:val="-19"/>
              </w:rPr>
              <w:drawing>
                <wp:inline distT="0" distB="0" distL="114300" distR="114300">
                  <wp:extent cx="596900" cy="609600"/>
                  <wp:effectExtent l="0" t="0" r="12700" b="0"/>
                  <wp:docPr id="15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tcBorders>
              <w:left w:val="nil"/>
              <w:bottom w:val="nil"/>
            </w:tcBorders>
            <w:noWrap w:val="0"/>
            <w:vAlign w:val="top"/>
          </w:tcPr>
          <w:p w14:paraId="29B77F4A">
            <w:pPr>
              <w:spacing w:before="193" w:line="960" w:lineRule="exact"/>
              <w:ind w:firstLine="54"/>
            </w:pPr>
            <w:r>
              <w:rPr>
                <w:position w:val="-19"/>
              </w:rPr>
              <w:drawing>
                <wp:inline distT="0" distB="0" distL="114300" distR="114300">
                  <wp:extent cx="609600" cy="609600"/>
                  <wp:effectExtent l="0" t="0" r="0" b="0"/>
                  <wp:docPr id="17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9FBC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5468" w:type="dxa"/>
            <w:vMerge w:val="continue"/>
            <w:tcBorders>
              <w:top w:val="nil"/>
              <w:bottom w:val="nil"/>
            </w:tcBorders>
            <w:noWrap w:val="0"/>
            <w:vAlign w:val="top"/>
          </w:tcPr>
          <w:p w14:paraId="4AB9DA52">
            <w:pPr>
              <w:rPr>
                <w:rFonts w:ascii="Arial"/>
              </w:rPr>
            </w:pPr>
          </w:p>
        </w:tc>
        <w:tc>
          <w:tcPr>
            <w:tcW w:w="3061" w:type="dxa"/>
            <w:gridSpan w:val="2"/>
            <w:tcBorders>
              <w:top w:val="nil"/>
            </w:tcBorders>
            <w:noWrap w:val="0"/>
            <w:vAlign w:val="top"/>
          </w:tcPr>
          <w:p w14:paraId="5DC29A84">
            <w:pPr>
              <w:spacing w:before="14" w:line="221" w:lineRule="auto"/>
              <w:ind w:left="73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pacing w:val="-1"/>
                <w:sz w:val="20"/>
                <w:szCs w:val="20"/>
              </w:rPr>
              <w:t>被救援车初始位置</w:t>
            </w:r>
          </w:p>
        </w:tc>
      </w:tr>
      <w:tr w14:paraId="769679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2" w:hRule="atLeast"/>
          <w:jc w:val="center"/>
        </w:trPr>
        <w:tc>
          <w:tcPr>
            <w:tcW w:w="5468" w:type="dxa"/>
            <w:vMerge w:val="continue"/>
            <w:tcBorders>
              <w:top w:val="nil"/>
              <w:bottom w:val="nil"/>
            </w:tcBorders>
            <w:noWrap w:val="0"/>
            <w:vAlign w:val="top"/>
          </w:tcPr>
          <w:p w14:paraId="671F8887">
            <w:pPr>
              <w:rPr>
                <w:rFonts w:ascii="Arial"/>
              </w:rPr>
            </w:pPr>
          </w:p>
        </w:tc>
        <w:tc>
          <w:tcPr>
            <w:tcW w:w="3061" w:type="dxa"/>
            <w:gridSpan w:val="2"/>
            <w:noWrap w:val="0"/>
            <w:vAlign w:val="top"/>
          </w:tcPr>
          <w:p w14:paraId="6C1A4994">
            <w:pPr>
              <w:spacing w:before="78" w:line="960" w:lineRule="exact"/>
              <w:ind w:firstLine="1046"/>
            </w:pPr>
            <w:r>
              <w:rPr>
                <w:position w:val="-19"/>
              </w:rPr>
              <w:drawing>
                <wp:inline distT="0" distB="0" distL="114300" distR="114300">
                  <wp:extent cx="609600" cy="609600"/>
                  <wp:effectExtent l="0" t="0" r="0" b="0"/>
                  <wp:docPr id="16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A4A28">
            <w:pPr>
              <w:spacing w:before="25" w:line="221" w:lineRule="auto"/>
              <w:ind w:left="981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pacing w:val="1"/>
                <w:sz w:val="18"/>
                <w:szCs w:val="18"/>
              </w:rPr>
              <w:t>“牵引”位置</w:t>
            </w:r>
          </w:p>
        </w:tc>
      </w:tr>
      <w:tr w14:paraId="3BCD80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  <w:jc w:val="center"/>
        </w:trPr>
        <w:tc>
          <w:tcPr>
            <w:tcW w:w="5468" w:type="dxa"/>
            <w:vMerge w:val="continue"/>
            <w:tcBorders>
              <w:top w:val="nil"/>
              <w:bottom w:val="nil"/>
            </w:tcBorders>
            <w:noWrap w:val="0"/>
            <w:vAlign w:val="top"/>
          </w:tcPr>
          <w:p w14:paraId="3D61AC9E">
            <w:pPr>
              <w:rPr>
                <w:rFonts w:ascii="Arial"/>
              </w:rPr>
            </w:pPr>
          </w:p>
        </w:tc>
        <w:tc>
          <w:tcPr>
            <w:tcW w:w="3061" w:type="dxa"/>
            <w:gridSpan w:val="2"/>
            <w:noWrap w:val="0"/>
            <w:vAlign w:val="top"/>
          </w:tcPr>
          <w:p w14:paraId="626CE525">
            <w:pPr>
              <w:spacing w:before="97" w:line="960" w:lineRule="exact"/>
              <w:ind w:firstLine="666"/>
            </w:pPr>
            <w:r>
              <w:rPr>
                <w:position w:val="-19"/>
              </w:rPr>
              <w:drawing>
                <wp:inline distT="0" distB="0" distL="114300" distR="114300">
                  <wp:extent cx="1092200" cy="609600"/>
                  <wp:effectExtent l="0" t="0" r="12700" b="0"/>
                  <wp:docPr id="26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E454B">
            <w:pPr>
              <w:spacing w:before="22" w:line="222" w:lineRule="auto"/>
              <w:ind w:left="1266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pacing w:val="-2"/>
                <w:sz w:val="18"/>
                <w:szCs w:val="18"/>
              </w:rPr>
              <w:t>维修厂</w:t>
            </w:r>
          </w:p>
        </w:tc>
      </w:tr>
      <w:tr w14:paraId="4E8807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6" w:hRule="atLeast"/>
          <w:jc w:val="center"/>
        </w:trPr>
        <w:tc>
          <w:tcPr>
            <w:tcW w:w="5468" w:type="dxa"/>
            <w:vMerge w:val="continue"/>
            <w:tcBorders>
              <w:top w:val="nil"/>
            </w:tcBorders>
            <w:noWrap w:val="0"/>
            <w:vAlign w:val="top"/>
          </w:tcPr>
          <w:p w14:paraId="229B61A3">
            <w:pPr>
              <w:rPr>
                <w:rFonts w:ascii="Arial"/>
              </w:rPr>
            </w:pPr>
          </w:p>
        </w:tc>
        <w:tc>
          <w:tcPr>
            <w:tcW w:w="3061" w:type="dxa"/>
            <w:gridSpan w:val="2"/>
            <w:noWrap w:val="0"/>
            <w:vAlign w:val="top"/>
          </w:tcPr>
          <w:p w14:paraId="42646611">
            <w:pPr>
              <w:spacing w:line="328" w:lineRule="auto"/>
              <w:rPr>
                <w:rFonts w:ascii="Arial"/>
              </w:rPr>
            </w:pPr>
          </w:p>
          <w:p w14:paraId="6FA027D2">
            <w:pPr>
              <w:spacing w:line="840" w:lineRule="exact"/>
              <w:ind w:firstLine="146"/>
            </w:pPr>
            <w:r>
              <w:rPr>
                <w:position w:val="-16"/>
              </w:rPr>
              <w:drawing>
                <wp:inline distT="0" distB="0" distL="114300" distR="114300">
                  <wp:extent cx="1752600" cy="533400"/>
                  <wp:effectExtent l="0" t="0" r="0" b="0"/>
                  <wp:docPr id="27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75C30">
            <w:pPr>
              <w:spacing w:before="25" w:line="222" w:lineRule="auto"/>
              <w:ind w:left="228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pacing w:val="-1"/>
                <w:sz w:val="18"/>
                <w:szCs w:val="18"/>
              </w:rPr>
              <w:t>两车动态间距始终不超过1个方格</w:t>
            </w:r>
          </w:p>
        </w:tc>
      </w:tr>
    </w:tbl>
    <w:p w14:paraId="0050A4DE">
      <w:pPr>
        <w:adjustRightInd w:val="0"/>
        <w:snapToGrid w:val="0"/>
        <w:spacing w:line="570" w:lineRule="exact"/>
        <w:ind w:firstLine="641"/>
        <w:rPr>
          <w:rFonts w:hint="eastAsia" w:eastAsia="仿宋_GB2312"/>
          <w:b/>
          <w:color w:val="000000"/>
          <w:sz w:val="32"/>
          <w:szCs w:val="32"/>
        </w:rPr>
      </w:pPr>
    </w:p>
    <w:p w14:paraId="1FCBABDA">
      <w:pPr>
        <w:adjustRightInd w:val="0"/>
        <w:snapToGrid w:val="0"/>
        <w:spacing w:line="570" w:lineRule="exact"/>
        <w:ind w:firstLine="641"/>
        <w:rPr>
          <w:rFonts w:eastAsia="仿宋_GB2312"/>
          <w:b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3.</w:t>
      </w:r>
      <w:r>
        <w:rPr>
          <w:rFonts w:hint="eastAsia" w:eastAsia="仿宋_GB2312"/>
          <w:b/>
          <w:color w:val="000000"/>
          <w:sz w:val="32"/>
          <w:szCs w:val="32"/>
        </w:rPr>
        <w:t xml:space="preserve"> </w:t>
      </w:r>
      <w:r>
        <w:rPr>
          <w:rFonts w:eastAsia="仿宋_GB2312"/>
          <w:b/>
          <w:color w:val="000000"/>
          <w:sz w:val="32"/>
          <w:szCs w:val="32"/>
        </w:rPr>
        <w:t>火灾救援</w:t>
      </w:r>
    </w:p>
    <w:p w14:paraId="3BF2868E">
      <w:pPr>
        <w:adjustRightInd w:val="0"/>
        <w:snapToGrid w:val="0"/>
        <w:spacing w:line="570" w:lineRule="exact"/>
        <w:ind w:firstLine="641"/>
        <w:rPr>
          <w:rFonts w:hint="eastAsia"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车辆到达火灾区由无火口驶入，完成避障标识搜寻，发现标识贴并静止其上，蜂鸣不少于2次视为单次成功，示意图如下：</w:t>
      </w:r>
    </w:p>
    <w:p w14:paraId="36D10484">
      <w:pPr>
        <w:adjustRightInd w:val="0"/>
        <w:snapToGrid w:val="0"/>
        <w:spacing w:line="2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br w:type="page"/>
      </w:r>
    </w:p>
    <w:tbl>
      <w:tblPr>
        <w:tblStyle w:val="5"/>
        <w:tblW w:w="0" w:type="auto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07"/>
        <w:gridCol w:w="1593"/>
        <w:gridCol w:w="266"/>
        <w:gridCol w:w="1863"/>
      </w:tblGrid>
      <w:tr w14:paraId="6D2D58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8" w:hRule="atLeast"/>
          <w:jc w:val="center"/>
        </w:trPr>
        <w:tc>
          <w:tcPr>
            <w:tcW w:w="4807" w:type="dxa"/>
            <w:vMerge w:val="restart"/>
            <w:tcBorders>
              <w:bottom w:val="nil"/>
            </w:tcBorders>
            <w:noWrap w:val="0"/>
            <w:vAlign w:val="top"/>
          </w:tcPr>
          <w:p w14:paraId="7DFD0D8B">
            <w:pPr>
              <w:spacing w:before="4" w:line="4880" w:lineRule="exact"/>
              <w:ind w:firstLine="113"/>
            </w:pPr>
            <w:r>
              <w:rPr>
                <w:position w:val="-97"/>
              </w:rPr>
              <w:drawing>
                <wp:inline distT="0" distB="0" distL="114300" distR="114300">
                  <wp:extent cx="2907665" cy="3098165"/>
                  <wp:effectExtent l="0" t="0" r="6985" b="6985"/>
                  <wp:docPr id="22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30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FF228">
            <w:pPr>
              <w:spacing w:before="26" w:line="221" w:lineRule="auto"/>
              <w:ind w:left="2098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pacing w:val="-2"/>
                <w:szCs w:val="21"/>
              </w:rPr>
              <w:t>火灾区</w:t>
            </w:r>
          </w:p>
        </w:tc>
        <w:tc>
          <w:tcPr>
            <w:tcW w:w="1859" w:type="dxa"/>
            <w:gridSpan w:val="2"/>
            <w:tcBorders>
              <w:bottom w:val="nil"/>
              <w:right w:val="nil"/>
            </w:tcBorders>
            <w:noWrap w:val="0"/>
            <w:vAlign w:val="top"/>
          </w:tcPr>
          <w:p w14:paraId="6E100B8A">
            <w:pPr>
              <w:spacing w:before="4" w:line="1560" w:lineRule="exact"/>
              <w:ind w:firstLine="245"/>
            </w:pPr>
            <w:r>
              <w:rPr>
                <w:position w:val="-31"/>
              </w:rPr>
              <w:drawing>
                <wp:inline distT="0" distB="0" distL="114300" distR="114300">
                  <wp:extent cx="990600" cy="990600"/>
                  <wp:effectExtent l="0" t="0" r="0" b="0"/>
                  <wp:docPr id="20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left w:val="nil"/>
              <w:bottom w:val="nil"/>
            </w:tcBorders>
            <w:noWrap w:val="0"/>
            <w:vAlign w:val="top"/>
          </w:tcPr>
          <w:p w14:paraId="2DADE682">
            <w:pPr>
              <w:spacing w:before="4" w:line="1560" w:lineRule="exact"/>
              <w:ind w:firstLine="53"/>
            </w:pPr>
            <w:r>
              <w:rPr>
                <w:position w:val="-31"/>
              </w:rPr>
              <w:drawing>
                <wp:inline distT="0" distB="0" distL="114300" distR="114300">
                  <wp:extent cx="990600" cy="990600"/>
                  <wp:effectExtent l="0" t="0" r="0" b="0"/>
                  <wp:docPr id="19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A273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  <w:jc w:val="center"/>
        </w:trPr>
        <w:tc>
          <w:tcPr>
            <w:tcW w:w="4807" w:type="dxa"/>
            <w:vMerge w:val="continue"/>
            <w:tcBorders>
              <w:top w:val="nil"/>
              <w:bottom w:val="nil"/>
            </w:tcBorders>
            <w:noWrap w:val="0"/>
            <w:vAlign w:val="top"/>
          </w:tcPr>
          <w:p w14:paraId="20A005D6">
            <w:pPr>
              <w:rPr>
                <w:rFonts w:ascii="Arial"/>
              </w:rPr>
            </w:pPr>
          </w:p>
        </w:tc>
        <w:tc>
          <w:tcPr>
            <w:tcW w:w="3722" w:type="dxa"/>
            <w:gridSpan w:val="3"/>
            <w:tcBorders>
              <w:top w:val="nil"/>
            </w:tcBorders>
            <w:noWrap w:val="0"/>
            <w:vAlign w:val="top"/>
          </w:tcPr>
          <w:p w14:paraId="515DB164">
            <w:pPr>
              <w:spacing w:before="15" w:line="221" w:lineRule="auto"/>
              <w:ind w:left="1553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pacing w:val="-2"/>
                <w:szCs w:val="21"/>
              </w:rPr>
              <w:t>标识贴</w:t>
            </w:r>
          </w:p>
          <w:p w14:paraId="404B30F8">
            <w:pPr>
              <w:spacing w:before="18" w:line="207" w:lineRule="auto"/>
              <w:ind w:left="194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pacing w:val="-2"/>
                <w:szCs w:val="21"/>
              </w:rPr>
              <w:t>（每个无障碍物单元格内限贴一张）</w:t>
            </w:r>
          </w:p>
        </w:tc>
      </w:tr>
      <w:tr w14:paraId="7945E9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8" w:hRule="atLeast"/>
          <w:jc w:val="center"/>
        </w:trPr>
        <w:tc>
          <w:tcPr>
            <w:tcW w:w="4807" w:type="dxa"/>
            <w:vMerge w:val="continue"/>
            <w:tcBorders>
              <w:top w:val="nil"/>
              <w:bottom w:val="nil"/>
            </w:tcBorders>
            <w:noWrap w:val="0"/>
            <w:vAlign w:val="top"/>
          </w:tcPr>
          <w:p w14:paraId="6F15ACD8">
            <w:pPr>
              <w:rPr>
                <w:rFonts w:ascii="Arial"/>
              </w:rPr>
            </w:pPr>
          </w:p>
        </w:tc>
        <w:tc>
          <w:tcPr>
            <w:tcW w:w="3722" w:type="dxa"/>
            <w:gridSpan w:val="3"/>
            <w:noWrap w:val="0"/>
            <w:vAlign w:val="top"/>
          </w:tcPr>
          <w:p w14:paraId="2AA90DD6">
            <w:pPr>
              <w:spacing w:before="7" w:line="1398" w:lineRule="exact"/>
              <w:ind w:firstLine="1107"/>
            </w:pPr>
            <w:r>
              <w:rPr>
                <w:position w:val="-27"/>
              </w:rPr>
              <w:drawing>
                <wp:inline distT="0" distB="0" distL="114300" distR="114300">
                  <wp:extent cx="952500" cy="887095"/>
                  <wp:effectExtent l="0" t="0" r="0" b="8255"/>
                  <wp:docPr id="21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43692">
            <w:pPr>
              <w:spacing w:before="28" w:line="206" w:lineRule="auto"/>
              <w:ind w:left="714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pacing w:val="-2"/>
                <w:szCs w:val="21"/>
              </w:rPr>
              <w:t>无火口（火灾区出入口）</w:t>
            </w:r>
          </w:p>
        </w:tc>
      </w:tr>
      <w:tr w14:paraId="719482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0" w:hRule="atLeast"/>
          <w:jc w:val="center"/>
        </w:trPr>
        <w:tc>
          <w:tcPr>
            <w:tcW w:w="4807" w:type="dxa"/>
            <w:vMerge w:val="continue"/>
            <w:tcBorders>
              <w:top w:val="nil"/>
            </w:tcBorders>
            <w:noWrap w:val="0"/>
            <w:vAlign w:val="top"/>
          </w:tcPr>
          <w:p w14:paraId="2BE56348">
            <w:pPr>
              <w:rPr>
                <w:rFonts w:ascii="Arial"/>
              </w:rPr>
            </w:pPr>
          </w:p>
        </w:tc>
        <w:tc>
          <w:tcPr>
            <w:tcW w:w="1593" w:type="dxa"/>
            <w:noWrap w:val="0"/>
            <w:vAlign w:val="top"/>
          </w:tcPr>
          <w:p w14:paraId="211F8900">
            <w:pPr>
              <w:spacing w:line="275" w:lineRule="auto"/>
              <w:rPr>
                <w:rFonts w:ascii="Arial"/>
              </w:rPr>
            </w:pPr>
          </w:p>
          <w:p w14:paraId="1A958E17">
            <w:pPr>
              <w:spacing w:line="920" w:lineRule="exact"/>
              <w:ind w:firstLine="314"/>
            </w:pPr>
            <w:r>
              <w:rPr>
                <w:position w:val="-18"/>
              </w:rPr>
              <w:drawing>
                <wp:inline distT="0" distB="0" distL="114300" distR="114300">
                  <wp:extent cx="609600" cy="583565"/>
                  <wp:effectExtent l="0" t="0" r="0" b="6985"/>
                  <wp:docPr id="23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98C83">
            <w:pPr>
              <w:spacing w:before="27" w:line="231" w:lineRule="auto"/>
              <w:ind w:left="706" w:right="160" w:hanging="514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pacing w:val="-5"/>
                <w:szCs w:val="21"/>
              </w:rPr>
              <w:t>障碍物摆放位</w:t>
            </w:r>
            <w:r>
              <w:rPr>
                <w:rFonts w:ascii="仿宋" w:hAnsi="仿宋" w:eastAsia="仿宋" w:cs="仿宋"/>
                <w:spacing w:val="4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szCs w:val="21"/>
              </w:rPr>
              <w:t>置</w:t>
            </w:r>
          </w:p>
        </w:tc>
        <w:tc>
          <w:tcPr>
            <w:tcW w:w="2129" w:type="dxa"/>
            <w:gridSpan w:val="2"/>
            <w:noWrap w:val="0"/>
            <w:vAlign w:val="top"/>
          </w:tcPr>
          <w:p w14:paraId="50B4771C">
            <w:pPr>
              <w:spacing w:line="267" w:lineRule="auto"/>
              <w:rPr>
                <w:rFonts w:ascii="Arial"/>
              </w:rPr>
            </w:pPr>
          </w:p>
          <w:p w14:paraId="02679879">
            <w:pPr>
              <w:spacing w:line="677" w:lineRule="exact"/>
              <w:ind w:firstLine="471"/>
            </w:pPr>
            <w:r>
              <w:rPr>
                <w:position w:val="-13"/>
              </w:rPr>
              <mc:AlternateContent>
                <mc:Choice Requires="wpg">
                  <w:drawing>
                    <wp:inline distT="0" distB="0" distL="114300" distR="114300">
                      <wp:extent cx="748030" cy="429895"/>
                      <wp:effectExtent l="635" t="0" r="13335" b="8255"/>
                      <wp:docPr id="31" name="组合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748030" cy="429895"/>
                                <a:chOff x="0" y="0"/>
                                <a:chExt cx="1178" cy="676"/>
                              </a:xfrm>
                            </wpg:grpSpPr>
                            <wps:wsp>
                              <wps:cNvPr id="28" name="任意多边形 28"/>
                              <wps:cNvSpPr/>
                              <wps:spPr>
                                <a:xfrm>
                                  <a:off x="1004" y="7"/>
                                  <a:ext cx="166" cy="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6" h="661">
                                      <a:moveTo>
                                        <a:pt x="0" y="165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65" y="496"/>
                                      </a:lnTo>
                                      <a:lnTo>
                                        <a:pt x="0" y="661"/>
                                      </a:lnTo>
                                      <a:lnTo>
                                        <a:pt x="0" y="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CDCD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9" name="任意多边形 29"/>
                              <wps:cNvSpPr/>
                              <wps:spPr>
                                <a:xfrm>
                                  <a:off x="7" y="7"/>
                                  <a:ext cx="1163" cy="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163" h="166">
                                      <a:moveTo>
                                        <a:pt x="0" y="165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162" y="0"/>
                                      </a:lnTo>
                                      <a:lnTo>
                                        <a:pt x="997" y="165"/>
                                      </a:lnTo>
                                      <a:lnTo>
                                        <a:pt x="0" y="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0" name="任意多边形 30"/>
                              <wps:cNvSpPr/>
                              <wps:spPr>
                                <a:xfrm>
                                  <a:off x="0" y="0"/>
                                  <a:ext cx="1178" cy="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178" h="676">
                                      <a:moveTo>
                                        <a:pt x="7" y="172"/>
                                      </a:moveTo>
                                      <a:lnTo>
                                        <a:pt x="172" y="7"/>
                                      </a:lnTo>
                                      <a:lnTo>
                                        <a:pt x="1170" y="7"/>
                                      </a:lnTo>
                                      <a:lnTo>
                                        <a:pt x="1170" y="503"/>
                                      </a:lnTo>
                                      <a:lnTo>
                                        <a:pt x="1005" y="669"/>
                                      </a:lnTo>
                                      <a:lnTo>
                                        <a:pt x="7" y="669"/>
                                      </a:lnTo>
                                      <a:lnTo>
                                        <a:pt x="7" y="172"/>
                                      </a:lnTo>
                                      <a:close/>
                                      <a:moveTo>
                                        <a:pt x="7" y="172"/>
                                      </a:moveTo>
                                      <a:lnTo>
                                        <a:pt x="1005" y="172"/>
                                      </a:lnTo>
                                      <a:lnTo>
                                        <a:pt x="1170" y="7"/>
                                      </a:lnTo>
                                      <a:moveTo>
                                        <a:pt x="1005" y="172"/>
                                      </a:moveTo>
                                      <a:lnTo>
                                        <a:pt x="1005" y="66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33.85pt;width:58.9pt;" coordsize="1178,676" o:gfxdata="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">
                      <o:lock v:ext="edit" rotation="t" aspectratio="f"/>
                      <v:shape id="_x0000_s1026" o:spid="_x0000_s1026" o:spt="100" style="position:absolute;left:1004;top:7;height:661;width:166;" fillcolor="#CDCDCD" filled="t" stroked="f" coordsize="166,661" o:gfxdata="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r9147tAAAANsAAAAPAAAA&#10;AAAAAAEAIAAAACIAAABkcnMvZG93bnJldi54bWxQSwECFAAUAAAACACHTuJAMy8FnjsAAAA5AAAA&#10;EAAAAAAAAAABACAAAAADAQAAZHJzL3NoYXBleG1sLnhtbFBLBQYAAAAABgAGAFsBAACtAwAAAAA=&#10;" path="m0,165l165,0,165,496,0,661,0,16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7;top:7;height:166;width:1163;" fillcolor="#FFFFFF" filled="t" stroked="f" coordsize="1163,166" o:gfxdata="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dzMNvQAA&#10;ANsAAAAPAAAAAAAAAAEAIAAAACIAAABkcnMvZG93bnJldi54bWxQSwECFAAUAAAACACHTuJAMy8F&#10;njsAAAA5AAAAEAAAAAAAAAABACAAAAAMAQAAZHJzL3NoYXBleG1sLnhtbFBLBQYAAAAABgAGAFsB&#10;AAC2AwAAAAA=&#10;" path="m0,165l165,0,1162,0,997,165,0,16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0;height:676;width:1178;" filled="f" stroked="t" coordsize="1178,676" o:gfxdata="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TNtDvQAA&#10;ANsAAAAPAAAAAAAAAAEAIAAAACIAAABkcnMvZG93bnJldi54bWxQSwECFAAUAAAACACHTuJAMy8F&#10;njsAAAA5AAAAEAAAAAAAAAABACAAAAAMAQAAZHJzL3NoYXBleG1sLnhtbFBLBQYAAAAABgAGAFsB&#10;AAC2AwAAAAA=&#10;" path="m7,172l172,7,1170,7,1170,503,1005,669,7,669,7,172xm7,172l1005,172,1170,7m1005,172l1005,669e">
                        <v:fill on="f" focussize="0,0"/>
                        <v:stroke color="#000000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0D87BB71">
            <w:pPr>
              <w:spacing w:before="19" w:line="222" w:lineRule="auto"/>
              <w:ind w:left="559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pacing w:val="-4"/>
                <w:szCs w:val="21"/>
              </w:rPr>
              <w:t>障碍物模型</w:t>
            </w:r>
          </w:p>
          <w:p w14:paraId="31796B73">
            <w:pPr>
              <w:spacing w:before="21" w:line="224" w:lineRule="auto"/>
              <w:ind w:left="232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pacing w:val="-2"/>
                <w:szCs w:val="21"/>
              </w:rPr>
              <w:t>长4cm×宽4cm×高</w:t>
            </w:r>
          </w:p>
          <w:p w14:paraId="3E11104E">
            <w:pPr>
              <w:spacing w:before="57" w:line="175" w:lineRule="auto"/>
              <w:ind w:left="907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pacing w:val="-2"/>
                <w:szCs w:val="21"/>
              </w:rPr>
              <w:t>4cm</w:t>
            </w:r>
          </w:p>
        </w:tc>
      </w:tr>
    </w:tbl>
    <w:p w14:paraId="1FCCDE11">
      <w:pPr>
        <w:adjustRightInd w:val="0"/>
        <w:snapToGrid w:val="0"/>
        <w:spacing w:line="570" w:lineRule="exact"/>
        <w:ind w:firstLine="641"/>
        <w:rPr>
          <w:rFonts w:eastAsia="仿宋_GB2312"/>
          <w:b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4.</w:t>
      </w:r>
      <w:r>
        <w:rPr>
          <w:rFonts w:hint="eastAsia" w:eastAsia="仿宋_GB2312"/>
          <w:b/>
          <w:color w:val="000000"/>
          <w:sz w:val="32"/>
          <w:szCs w:val="32"/>
        </w:rPr>
        <w:t xml:space="preserve"> </w:t>
      </w:r>
      <w:r>
        <w:rPr>
          <w:rFonts w:eastAsia="仿宋_GB2312"/>
          <w:b/>
          <w:color w:val="000000"/>
          <w:sz w:val="32"/>
          <w:szCs w:val="32"/>
        </w:rPr>
        <w:t>物资分配</w:t>
      </w:r>
    </w:p>
    <w:p w14:paraId="5BC42F82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车辆到达物资区，将物资模型运送至救援营地，且物资模型垂直投影完全在救援营地绿色区域内视为单次成功，示意图如下：</w:t>
      </w:r>
    </w:p>
    <w:tbl>
      <w:tblPr>
        <w:tblStyle w:val="5"/>
        <w:tblW w:w="0" w:type="auto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46"/>
        <w:gridCol w:w="1205"/>
        <w:gridCol w:w="1184"/>
        <w:gridCol w:w="2394"/>
      </w:tblGrid>
      <w:tr w14:paraId="4B2E6C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3" w:hRule="atLeast"/>
          <w:jc w:val="center"/>
        </w:trPr>
        <w:tc>
          <w:tcPr>
            <w:tcW w:w="3746" w:type="dxa"/>
            <w:vMerge w:val="restart"/>
            <w:tcBorders>
              <w:bottom w:val="nil"/>
            </w:tcBorders>
            <w:noWrap w:val="0"/>
            <w:vAlign w:val="top"/>
          </w:tcPr>
          <w:p w14:paraId="0ECD4D02">
            <w:pPr>
              <w:spacing w:before="204" w:line="3740" w:lineRule="exact"/>
              <w:ind w:firstLine="373"/>
            </w:pPr>
            <w:r>
              <w:rPr>
                <w:position w:val="-74"/>
              </w:rPr>
              <w:drawing>
                <wp:inline distT="0" distB="0" distL="114300" distR="114300">
                  <wp:extent cx="1905000" cy="2374900"/>
                  <wp:effectExtent l="0" t="0" r="0" b="6350"/>
                  <wp:docPr id="6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BB38B">
            <w:pPr>
              <w:spacing w:before="30" w:line="222" w:lineRule="auto"/>
              <w:ind w:left="1566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pacing w:val="-2"/>
                <w:szCs w:val="21"/>
              </w:rPr>
              <w:t>物资区</w:t>
            </w:r>
          </w:p>
        </w:tc>
        <w:tc>
          <w:tcPr>
            <w:tcW w:w="2389" w:type="dxa"/>
            <w:gridSpan w:val="2"/>
            <w:tcBorders>
              <w:bottom w:val="nil"/>
              <w:right w:val="single" w:color="000000" w:sz="8" w:space="0"/>
            </w:tcBorders>
            <w:noWrap w:val="0"/>
            <w:vAlign w:val="top"/>
          </w:tcPr>
          <w:p w14:paraId="3F38C7A7">
            <w:pPr>
              <w:spacing w:before="60" w:line="837" w:lineRule="exact"/>
              <w:ind w:firstLine="343"/>
            </w:pP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page">
                    <wp:posOffset>4279900</wp:posOffset>
                  </wp:positionH>
                  <wp:positionV relativeFrom="page">
                    <wp:posOffset>6313170</wp:posOffset>
                  </wp:positionV>
                  <wp:extent cx="546100" cy="546100"/>
                  <wp:effectExtent l="0" t="0" r="6350" b="6350"/>
                  <wp:wrapNone/>
                  <wp:docPr id="11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 3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posOffset>3895090</wp:posOffset>
                  </wp:positionH>
                  <wp:positionV relativeFrom="page">
                    <wp:posOffset>6459220</wp:posOffset>
                  </wp:positionV>
                  <wp:extent cx="236855" cy="307975"/>
                  <wp:effectExtent l="0" t="0" r="10795" b="15875"/>
                  <wp:wrapNone/>
                  <wp:docPr id="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3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17"/>
              </w:rPr>
              <mc:AlternateContent>
                <mc:Choice Requires="wps">
                  <w:drawing>
                    <wp:inline distT="0" distB="0" distL="114300" distR="114300">
                      <wp:extent cx="570230" cy="536575"/>
                      <wp:effectExtent l="0" t="0" r="1270" b="15875"/>
                      <wp:docPr id="12" name="任意多边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570230" cy="5365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898" h="845">
                                    <a:moveTo>
                                      <a:pt x="20" y="154"/>
                                    </a:moveTo>
                                    <a:cubicBezTo>
                                      <a:pt x="20" y="80"/>
                                      <a:pt x="80" y="20"/>
                                      <a:pt x="154" y="20"/>
                                    </a:cubicBezTo>
                                    <a:lnTo>
                                      <a:pt x="743" y="20"/>
                                    </a:lnTo>
                                    <a:cubicBezTo>
                                      <a:pt x="817" y="20"/>
                                      <a:pt x="877" y="80"/>
                                      <a:pt x="877" y="154"/>
                                    </a:cubicBezTo>
                                    <a:lnTo>
                                      <a:pt x="877" y="690"/>
                                    </a:lnTo>
                                    <a:cubicBezTo>
                                      <a:pt x="877" y="764"/>
                                      <a:pt x="817" y="824"/>
                                      <a:pt x="743" y="824"/>
                                    </a:cubicBezTo>
                                    <a:lnTo>
                                      <a:pt x="154" y="824"/>
                                    </a:lnTo>
                                    <a:cubicBezTo>
                                      <a:pt x="80" y="824"/>
                                      <a:pt x="20" y="764"/>
                                      <a:pt x="20" y="690"/>
                                    </a:cubicBezTo>
                                    <a:lnTo>
                                      <a:pt x="20" y="1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5400" cap="flat" cmpd="sng">
                                <a:solidFill>
                                  <a:srgbClr val="29486D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100" style="height:42.25pt;width:44.9pt;" filled="f" stroked="t" coordsize="898,845" o:gfxdata="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wVbVb9QAAAADAQAA&#10;DwAAAAAAAAABACAAAAAiAAAAZHJzL2Rvd25yZXYueG1sUEsBAhQAFAAAAAgAh07iQCedCvPIAgAA&#10;tQYAAA4AAAAAAAAAAQAgAAAAIwEAAGRycy9lMm9Eb2MueG1sUEsFBgAAAAAGAAYAWQEAAF0GAAAA&#10;AA==&#10;" path="m20,154c20,80,80,20,154,20l743,20c817,20,877,80,877,154l877,690c877,764,817,824,743,824l154,824c80,824,20,764,20,690l20,154xe">
                      <v:fill on="f" focussize="0,0"/>
                      <v:stroke weight="2pt" color="#29486D" miterlimit="10"/>
                      <v:imagedata o:title=""/>
                      <o:lock v:ext="edit" rotation="t"/>
                      <w10:wrap type="none"/>
                      <w10:anchorlock/>
                    </v:shape>
                  </w:pict>
                </mc:Fallback>
              </mc:AlternateContent>
            </w:r>
          </w:p>
          <w:p w14:paraId="46974929">
            <w:pPr>
              <w:spacing w:line="213" w:lineRule="auto"/>
              <w:ind w:left="571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pacing w:val="-1"/>
                <w:sz w:val="18"/>
                <w:szCs w:val="18"/>
              </w:rPr>
              <w:t>物资模型贴种类</w:t>
            </w:r>
          </w:p>
          <w:p w14:paraId="4AFA1EF9">
            <w:pPr>
              <w:spacing w:before="18" w:line="223" w:lineRule="auto"/>
              <w:ind w:left="622"/>
              <w:rPr>
                <w:rFonts w:eastAsia="Times New Roman"/>
                <w:sz w:val="18"/>
                <w:szCs w:val="18"/>
              </w:rPr>
            </w:pPr>
            <w:r>
              <w:rPr>
                <w:rFonts w:ascii="宋体" w:hAnsi="宋体" w:cs="宋体"/>
                <w:spacing w:val="-1"/>
                <w:sz w:val="18"/>
                <w:szCs w:val="18"/>
              </w:rPr>
              <w:t>长</w:t>
            </w:r>
            <w:r>
              <w:rPr>
                <w:rFonts w:eastAsia="Times New Roman"/>
                <w:spacing w:val="-1"/>
                <w:sz w:val="18"/>
                <w:szCs w:val="18"/>
              </w:rPr>
              <w:t>5cm</w:t>
            </w:r>
            <w:r>
              <w:rPr>
                <w:rFonts w:ascii="宋体" w:hAnsi="宋体" w:cs="宋体"/>
                <w:spacing w:val="-1"/>
                <w:sz w:val="18"/>
                <w:szCs w:val="18"/>
              </w:rPr>
              <w:t>×宽</w:t>
            </w:r>
            <w:r>
              <w:rPr>
                <w:rFonts w:eastAsia="Times New Roman"/>
                <w:spacing w:val="-1"/>
                <w:sz w:val="18"/>
                <w:szCs w:val="18"/>
              </w:rPr>
              <w:t>5cm</w:t>
            </w:r>
          </w:p>
        </w:tc>
        <w:tc>
          <w:tcPr>
            <w:tcW w:w="2394" w:type="dxa"/>
            <w:tcBorders>
              <w:left w:val="single" w:color="000000" w:sz="8" w:space="0"/>
              <w:bottom w:val="nil"/>
            </w:tcBorders>
            <w:noWrap w:val="0"/>
            <w:vAlign w:val="top"/>
          </w:tcPr>
          <w:p w14:paraId="1849233B">
            <w:pPr>
              <w:spacing w:before="4" w:line="880" w:lineRule="exact"/>
              <w:ind w:firstLine="296"/>
            </w:pPr>
            <w:r>
              <w:rPr>
                <w:position w:val="-17"/>
              </w:rPr>
              <w:drawing>
                <wp:inline distT="0" distB="0" distL="114300" distR="114300">
                  <wp:extent cx="1130300" cy="558800"/>
                  <wp:effectExtent l="0" t="0" r="12700" b="12700"/>
                  <wp:docPr id="8" name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FDEC0">
            <w:pPr>
              <w:spacing w:before="24" w:line="223" w:lineRule="auto"/>
              <w:ind w:left="657"/>
              <w:rPr>
                <w:rFonts w:ascii="仿宋" w:hAnsi="仿宋" w:eastAsia="仿宋" w:cs="仿宋"/>
                <w:sz w:val="18"/>
                <w:szCs w:val="18"/>
              </w:rPr>
            </w:pPr>
            <w:r>
              <w:rPr>
                <w:rFonts w:ascii="仿宋" w:hAnsi="仿宋" w:eastAsia="仿宋" w:cs="仿宋"/>
                <w:spacing w:val="-2"/>
                <w:sz w:val="18"/>
                <w:szCs w:val="18"/>
              </w:rPr>
              <w:t>物资模型种类</w:t>
            </w:r>
          </w:p>
          <w:p w14:paraId="4CF75517">
            <w:pPr>
              <w:spacing w:before="17" w:line="222" w:lineRule="auto"/>
              <w:ind w:left="277"/>
              <w:rPr>
                <w:rFonts w:eastAsia="Times New Roman"/>
                <w:sz w:val="18"/>
                <w:szCs w:val="18"/>
              </w:rPr>
            </w:pPr>
            <w:r>
              <w:rPr>
                <w:rFonts w:ascii="宋体" w:hAnsi="宋体" w:cs="宋体"/>
                <w:spacing w:val="-1"/>
                <w:sz w:val="18"/>
                <w:szCs w:val="18"/>
              </w:rPr>
              <w:t>长</w:t>
            </w:r>
            <w:r>
              <w:rPr>
                <w:rFonts w:eastAsia="Times New Roman"/>
                <w:spacing w:val="-1"/>
                <w:sz w:val="18"/>
                <w:szCs w:val="18"/>
              </w:rPr>
              <w:t>5cm</w:t>
            </w:r>
            <w:r>
              <w:rPr>
                <w:rFonts w:ascii="宋体" w:hAnsi="宋体" w:cs="宋体"/>
                <w:spacing w:val="-1"/>
                <w:sz w:val="18"/>
                <w:szCs w:val="18"/>
              </w:rPr>
              <w:t>×宽</w:t>
            </w:r>
            <w:r>
              <w:rPr>
                <w:rFonts w:eastAsia="Times New Roman"/>
                <w:spacing w:val="-1"/>
                <w:sz w:val="18"/>
                <w:szCs w:val="18"/>
              </w:rPr>
              <w:t>5cm</w:t>
            </w:r>
            <w:r>
              <w:rPr>
                <w:rFonts w:ascii="宋体" w:hAnsi="宋体" w:cs="宋体"/>
                <w:spacing w:val="-1"/>
                <w:sz w:val="18"/>
                <w:szCs w:val="18"/>
              </w:rPr>
              <w:t>×高</w:t>
            </w:r>
            <w:r>
              <w:rPr>
                <w:rFonts w:eastAsia="Times New Roman"/>
                <w:spacing w:val="-1"/>
                <w:sz w:val="18"/>
                <w:szCs w:val="18"/>
              </w:rPr>
              <w:t>5cm</w:t>
            </w:r>
          </w:p>
        </w:tc>
      </w:tr>
      <w:tr w14:paraId="0590E3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  <w:jc w:val="center"/>
        </w:trPr>
        <w:tc>
          <w:tcPr>
            <w:tcW w:w="3746" w:type="dxa"/>
            <w:vMerge w:val="continue"/>
            <w:tcBorders>
              <w:top w:val="nil"/>
              <w:bottom w:val="nil"/>
            </w:tcBorders>
            <w:noWrap w:val="0"/>
            <w:vAlign w:val="top"/>
          </w:tcPr>
          <w:p w14:paraId="51401289">
            <w:pPr>
              <w:pStyle w:val="7"/>
              <w:rPr>
                <w:lang w:eastAsia="zh-CN"/>
              </w:rPr>
            </w:pPr>
          </w:p>
        </w:tc>
        <w:tc>
          <w:tcPr>
            <w:tcW w:w="4783" w:type="dxa"/>
            <w:gridSpan w:val="3"/>
            <w:tcBorders>
              <w:top w:val="nil"/>
            </w:tcBorders>
            <w:noWrap w:val="0"/>
            <w:vAlign w:val="top"/>
          </w:tcPr>
          <w:p w14:paraId="10B8BFA3">
            <w:pPr>
              <w:spacing w:before="172" w:line="222" w:lineRule="auto"/>
              <w:ind w:left="866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pacing w:val="-1"/>
                <w:sz w:val="18"/>
                <w:szCs w:val="18"/>
              </w:rPr>
              <w:t>每个物资模型贴上限摆放一个物资模型</w:t>
            </w:r>
          </w:p>
        </w:tc>
      </w:tr>
      <w:tr w14:paraId="458004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4" w:hRule="atLeast"/>
          <w:jc w:val="center"/>
        </w:trPr>
        <w:tc>
          <w:tcPr>
            <w:tcW w:w="3746" w:type="dxa"/>
            <w:vMerge w:val="continue"/>
            <w:tcBorders>
              <w:top w:val="nil"/>
              <w:bottom w:val="nil"/>
            </w:tcBorders>
            <w:noWrap w:val="0"/>
            <w:vAlign w:val="top"/>
          </w:tcPr>
          <w:p w14:paraId="72878F25">
            <w:pPr>
              <w:pStyle w:val="7"/>
              <w:rPr>
                <w:lang w:eastAsia="zh-CN"/>
              </w:rPr>
            </w:pPr>
          </w:p>
        </w:tc>
        <w:tc>
          <w:tcPr>
            <w:tcW w:w="1205" w:type="dxa"/>
            <w:tcBorders>
              <w:bottom w:val="nil"/>
              <w:right w:val="nil"/>
            </w:tcBorders>
            <w:noWrap w:val="0"/>
            <w:vAlign w:val="top"/>
          </w:tcPr>
          <w:p w14:paraId="3744E9E4">
            <w:pPr>
              <w:pStyle w:val="7"/>
              <w:spacing w:line="252" w:lineRule="auto"/>
              <w:rPr>
                <w:lang w:eastAsia="zh-CN"/>
              </w:rPr>
            </w:pPr>
          </w:p>
          <w:p w14:paraId="026C54D6">
            <w:pPr>
              <w:spacing w:line="1420" w:lineRule="exact"/>
              <w:ind w:firstLine="151"/>
            </w:pPr>
            <w:r>
              <w:rPr>
                <w:position w:val="-28"/>
              </w:rPr>
              <w:drawing>
                <wp:inline distT="0" distB="0" distL="114300" distR="114300">
                  <wp:extent cx="635000" cy="901065"/>
                  <wp:effectExtent l="0" t="0" r="12700" b="13335"/>
                  <wp:docPr id="1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left w:val="nil"/>
              <w:bottom w:val="nil"/>
            </w:tcBorders>
            <w:noWrap w:val="0"/>
            <w:vAlign w:val="top"/>
          </w:tcPr>
          <w:p w14:paraId="5ECDA5C7">
            <w:pPr>
              <w:pStyle w:val="7"/>
              <w:spacing w:line="252" w:lineRule="auto"/>
            </w:pPr>
          </w:p>
          <w:p w14:paraId="0E34D7D7">
            <w:pPr>
              <w:spacing w:line="1420" w:lineRule="exact"/>
              <w:ind w:firstLine="53"/>
            </w:pPr>
            <w:r>
              <w:rPr>
                <w:position w:val="-28"/>
              </w:rPr>
              <w:drawing>
                <wp:inline distT="0" distB="0" distL="114300" distR="114300">
                  <wp:extent cx="622300" cy="901065"/>
                  <wp:effectExtent l="0" t="0" r="6350" b="13335"/>
                  <wp:docPr id="3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Merge w:val="restart"/>
            <w:tcBorders>
              <w:bottom w:val="nil"/>
            </w:tcBorders>
            <w:noWrap w:val="0"/>
            <w:vAlign w:val="top"/>
          </w:tcPr>
          <w:p w14:paraId="0A76A999">
            <w:pPr>
              <w:pStyle w:val="7"/>
              <w:spacing w:line="283" w:lineRule="auto"/>
            </w:pPr>
          </w:p>
          <w:p w14:paraId="370C1430">
            <w:pPr>
              <w:spacing w:line="1320" w:lineRule="exact"/>
              <w:ind w:firstLine="191"/>
            </w:pPr>
            <w:r>
              <w:rPr>
                <w:position w:val="-26"/>
              </w:rPr>
              <w:drawing>
                <wp:inline distT="0" distB="0" distL="114300" distR="114300">
                  <wp:extent cx="596900" cy="838200"/>
                  <wp:effectExtent l="0" t="0" r="12700" b="0"/>
                  <wp:docPr id="2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B9D55">
            <w:pPr>
              <w:spacing w:before="29" w:line="221" w:lineRule="auto"/>
              <w:ind w:left="781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pacing w:val="-2"/>
                <w:szCs w:val="21"/>
              </w:rPr>
              <w:t>成功状态</w:t>
            </w:r>
          </w:p>
        </w:tc>
      </w:tr>
      <w:tr w14:paraId="339D1B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  <w:jc w:val="center"/>
        </w:trPr>
        <w:tc>
          <w:tcPr>
            <w:tcW w:w="3746" w:type="dxa"/>
            <w:vMerge w:val="continue"/>
            <w:tcBorders>
              <w:top w:val="nil"/>
            </w:tcBorders>
            <w:noWrap w:val="0"/>
            <w:vAlign w:val="top"/>
          </w:tcPr>
          <w:p w14:paraId="22CAB1EC">
            <w:pPr>
              <w:pStyle w:val="7"/>
            </w:pPr>
          </w:p>
        </w:tc>
        <w:tc>
          <w:tcPr>
            <w:tcW w:w="2389" w:type="dxa"/>
            <w:gridSpan w:val="2"/>
            <w:tcBorders>
              <w:top w:val="nil"/>
            </w:tcBorders>
            <w:noWrap w:val="0"/>
            <w:vAlign w:val="top"/>
          </w:tcPr>
          <w:p w14:paraId="442496AC">
            <w:pPr>
              <w:spacing w:before="18" w:line="225" w:lineRule="auto"/>
              <w:ind w:left="787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pacing w:val="-3"/>
                <w:szCs w:val="21"/>
              </w:rPr>
              <w:t>救援营地</w:t>
            </w:r>
          </w:p>
        </w:tc>
        <w:tc>
          <w:tcPr>
            <w:tcW w:w="2394" w:type="dxa"/>
            <w:vMerge w:val="continue"/>
            <w:tcBorders>
              <w:top w:val="nil"/>
            </w:tcBorders>
            <w:noWrap w:val="0"/>
            <w:vAlign w:val="top"/>
          </w:tcPr>
          <w:p w14:paraId="51157450">
            <w:pPr>
              <w:pStyle w:val="7"/>
            </w:pPr>
          </w:p>
        </w:tc>
      </w:tr>
    </w:tbl>
    <w:p w14:paraId="639DE3A4">
      <w:pPr>
        <w:adjustRightInd w:val="0"/>
        <w:snapToGrid w:val="0"/>
        <w:spacing w:line="570" w:lineRule="exact"/>
        <w:ind w:firstLine="641"/>
        <w:rPr>
          <w:rFonts w:eastAsia="仿宋_GB2312"/>
          <w:b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5.</w:t>
      </w:r>
      <w:r>
        <w:rPr>
          <w:rFonts w:hint="eastAsia" w:eastAsia="仿宋_GB2312"/>
          <w:b/>
          <w:color w:val="000000"/>
          <w:sz w:val="32"/>
          <w:szCs w:val="32"/>
        </w:rPr>
        <w:t xml:space="preserve"> </w:t>
      </w:r>
      <w:r>
        <w:rPr>
          <w:rFonts w:eastAsia="仿宋_GB2312"/>
          <w:b/>
          <w:color w:val="000000"/>
          <w:sz w:val="32"/>
          <w:szCs w:val="32"/>
        </w:rPr>
        <w:t>开闸泄洪</w:t>
      </w:r>
    </w:p>
    <w:p w14:paraId="44AEF2A9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两辆车辆到达泄洪区，分别静止在红色箭头位置，同时按箭头方向推动闭合的闸门使其打开视为成功，示意图如下：</w:t>
      </w:r>
    </w:p>
    <w:tbl>
      <w:tblPr>
        <w:tblStyle w:val="5"/>
        <w:tblW w:w="0" w:type="auto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64"/>
        <w:gridCol w:w="4265"/>
      </w:tblGrid>
      <w:tr w14:paraId="153BC1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5" w:hRule="atLeast"/>
          <w:jc w:val="center"/>
        </w:trPr>
        <w:tc>
          <w:tcPr>
            <w:tcW w:w="4264" w:type="dxa"/>
            <w:noWrap w:val="0"/>
            <w:vAlign w:val="top"/>
          </w:tcPr>
          <w:p w14:paraId="0FA24507">
            <w:pPr>
              <w:spacing w:before="6" w:line="3440" w:lineRule="exact"/>
              <w:ind w:firstLine="852"/>
            </w:pPr>
            <w:r>
              <w:rPr>
                <w:position w:val="-68"/>
              </w:rPr>
              <w:drawing>
                <wp:inline distT="0" distB="0" distL="114300" distR="114300">
                  <wp:extent cx="1625600" cy="2183765"/>
                  <wp:effectExtent l="0" t="0" r="12700" b="6985"/>
                  <wp:docPr id="5" name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21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E8EEE">
            <w:pPr>
              <w:spacing w:before="44" w:line="215" w:lineRule="auto"/>
              <w:ind w:left="1618"/>
              <w:rPr>
                <w:rFonts w:ascii="仿宋" w:hAnsi="仿宋" w:eastAsia="仿宋" w:cs="仿宋"/>
                <w:sz w:val="27"/>
                <w:szCs w:val="27"/>
              </w:rPr>
            </w:pPr>
            <w:r>
              <w:rPr>
                <w:rFonts w:ascii="仿宋" w:hAnsi="仿宋" w:eastAsia="仿宋" w:cs="仿宋"/>
                <w:spacing w:val="-2"/>
                <w:sz w:val="27"/>
                <w:szCs w:val="27"/>
              </w:rPr>
              <w:t>闭合状态</w:t>
            </w:r>
          </w:p>
        </w:tc>
        <w:tc>
          <w:tcPr>
            <w:tcW w:w="4265" w:type="dxa"/>
            <w:noWrap w:val="0"/>
            <w:vAlign w:val="top"/>
          </w:tcPr>
          <w:p w14:paraId="316E89B8">
            <w:pPr>
              <w:spacing w:before="6" w:line="3440" w:lineRule="exact"/>
              <w:ind w:firstLine="839"/>
            </w:pPr>
            <w:r>
              <w:rPr>
                <w:position w:val="-68"/>
              </w:rPr>
              <w:drawing>
                <wp:inline distT="0" distB="0" distL="114300" distR="114300">
                  <wp:extent cx="1638300" cy="2183765"/>
                  <wp:effectExtent l="0" t="0" r="0" b="6985"/>
                  <wp:docPr id="10" name="图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1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76D649">
            <w:pPr>
              <w:spacing w:before="44" w:line="215" w:lineRule="auto"/>
              <w:ind w:left="1592"/>
              <w:rPr>
                <w:rFonts w:ascii="仿宋" w:hAnsi="仿宋" w:eastAsia="仿宋" w:cs="仿宋"/>
                <w:sz w:val="27"/>
                <w:szCs w:val="27"/>
              </w:rPr>
            </w:pPr>
            <w:r>
              <w:rPr>
                <w:rFonts w:ascii="仿宋" w:hAnsi="仿宋" w:eastAsia="仿宋" w:cs="仿宋"/>
                <w:spacing w:val="4"/>
                <w:sz w:val="27"/>
                <w:szCs w:val="27"/>
              </w:rPr>
              <w:t>打开状态</w:t>
            </w:r>
          </w:p>
        </w:tc>
      </w:tr>
    </w:tbl>
    <w:p w14:paraId="6B08B06C">
      <w:pPr>
        <w:adjustRightInd w:val="0"/>
        <w:snapToGrid w:val="0"/>
        <w:spacing w:line="570" w:lineRule="exact"/>
        <w:ind w:firstLine="641"/>
        <w:rPr>
          <w:rFonts w:eastAsia="仿宋_GB2312"/>
          <w:b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6.</w:t>
      </w:r>
      <w:r>
        <w:rPr>
          <w:rFonts w:hint="eastAsia" w:eastAsia="仿宋_GB2312"/>
          <w:b/>
          <w:color w:val="000000"/>
          <w:sz w:val="32"/>
          <w:szCs w:val="32"/>
        </w:rPr>
        <w:t xml:space="preserve"> </w:t>
      </w:r>
      <w:r>
        <w:rPr>
          <w:rFonts w:eastAsia="仿宋_GB2312"/>
          <w:b/>
          <w:color w:val="000000"/>
          <w:sz w:val="32"/>
          <w:szCs w:val="32"/>
        </w:rPr>
        <w:t>到达终点</w:t>
      </w:r>
    </w:p>
    <w:p w14:paraId="33C9B60E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全部车辆均到达终点静止，垂直投影完全在区域内且同步完成规定顺序动作视为成功。</w:t>
      </w:r>
    </w:p>
    <w:p w14:paraId="1CA628A9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注：初中组，高中组须由1名参赛选手通过自定手势触发全部车辆。</w:t>
      </w:r>
    </w:p>
    <w:p w14:paraId="1DB82329">
      <w:pPr>
        <w:adjustRightInd w:val="0"/>
        <w:snapToGrid w:val="0"/>
        <w:spacing w:line="570" w:lineRule="exact"/>
        <w:ind w:firstLine="641"/>
        <w:rPr>
          <w:rFonts w:ascii="楷体_GB2312" w:eastAsia="楷体_GB2312"/>
          <w:b/>
          <w:color w:val="000000"/>
          <w:sz w:val="32"/>
          <w:szCs w:val="32"/>
        </w:rPr>
      </w:pPr>
      <w:r>
        <w:rPr>
          <w:rFonts w:ascii="楷体_GB2312" w:eastAsia="楷体_GB2312"/>
          <w:b/>
          <w:color w:val="000000"/>
          <w:sz w:val="32"/>
          <w:szCs w:val="32"/>
        </w:rPr>
        <w:t>（三）任务变量</w:t>
      </w:r>
    </w:p>
    <w:p w14:paraId="4AAC3166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车辆启动任务中，起点位置由裁判在编程前现场公布。</w:t>
      </w:r>
    </w:p>
    <w:p w14:paraId="02F22920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道路救援任务中， 被救援车辆的初始位置由裁判在编程前现场公布。</w:t>
      </w:r>
    </w:p>
    <w:p w14:paraId="050A75AB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3.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火灾救援任务中，标识贴位置由裁判在编程前现场公布。</w:t>
      </w:r>
    </w:p>
    <w:p w14:paraId="663E09B7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4.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物资分配任务中，物资模型贴的种类、数量及位置，物资模型开口朝向及运送的救援营地由裁判在编程前现场公布。</w:t>
      </w:r>
    </w:p>
    <w:p w14:paraId="343A84AF">
      <w:pPr>
        <w:adjustRightInd w:val="0"/>
        <w:snapToGrid w:val="0"/>
        <w:spacing w:line="56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5.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到达终点任务中，2个规定动作及完成顺序由裁判在编程前现场公布。</w:t>
      </w:r>
    </w:p>
    <w:p w14:paraId="260703E9">
      <w:pPr>
        <w:adjustRightInd w:val="0"/>
        <w:snapToGrid w:val="0"/>
        <w:spacing w:line="56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注：规定动作包括全部车辆同步顺时针旋转360°、全部车辆同步逆时针旋转360°、全部车辆同步蜂鸣。</w:t>
      </w:r>
    </w:p>
    <w:p w14:paraId="2EB41892">
      <w:pPr>
        <w:adjustRightInd w:val="0"/>
        <w:snapToGrid w:val="0"/>
        <w:spacing w:line="570" w:lineRule="exact"/>
        <w:ind w:firstLine="641"/>
        <w:rPr>
          <w:rFonts w:ascii="楷体_GB2312" w:eastAsia="楷体_GB2312"/>
          <w:b/>
          <w:color w:val="000000"/>
          <w:sz w:val="32"/>
          <w:szCs w:val="32"/>
        </w:rPr>
      </w:pPr>
      <w:r>
        <w:rPr>
          <w:rFonts w:ascii="楷体_GB2312" w:eastAsia="楷体_GB2312"/>
          <w:b/>
          <w:color w:val="000000"/>
          <w:sz w:val="32"/>
          <w:szCs w:val="32"/>
        </w:rPr>
        <w:t>（四）用时与次数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2"/>
        <w:gridCol w:w="2586"/>
        <w:gridCol w:w="2125"/>
        <w:gridCol w:w="1804"/>
      </w:tblGrid>
      <w:tr w14:paraId="704EAC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832" w:type="dxa"/>
            <w:noWrap w:val="0"/>
            <w:vAlign w:val="center"/>
          </w:tcPr>
          <w:p w14:paraId="58BC1ACB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b/>
                <w:bCs/>
                <w:spacing w:val="1"/>
                <w:szCs w:val="21"/>
              </w:rPr>
              <w:t>组别</w:t>
            </w:r>
          </w:p>
        </w:tc>
        <w:tc>
          <w:tcPr>
            <w:tcW w:w="2586" w:type="dxa"/>
            <w:noWrap w:val="0"/>
            <w:vAlign w:val="center"/>
          </w:tcPr>
          <w:p w14:paraId="2884EB4D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b/>
                <w:bCs/>
                <w:spacing w:val="9"/>
                <w:szCs w:val="21"/>
              </w:rPr>
              <w:t>现场编程调试时长</w:t>
            </w:r>
          </w:p>
        </w:tc>
        <w:tc>
          <w:tcPr>
            <w:tcW w:w="2125" w:type="dxa"/>
            <w:noWrap w:val="0"/>
            <w:vAlign w:val="center"/>
          </w:tcPr>
          <w:p w14:paraId="4B2DA235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b/>
                <w:bCs/>
                <w:spacing w:val="8"/>
                <w:szCs w:val="21"/>
              </w:rPr>
              <w:t>规定任务时长</w:t>
            </w:r>
          </w:p>
        </w:tc>
        <w:tc>
          <w:tcPr>
            <w:tcW w:w="1804" w:type="dxa"/>
            <w:noWrap w:val="0"/>
            <w:vAlign w:val="center"/>
          </w:tcPr>
          <w:p w14:paraId="03D8A8D0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b/>
                <w:bCs/>
                <w:spacing w:val="8"/>
                <w:szCs w:val="21"/>
              </w:rPr>
              <w:t>规定任务次数</w:t>
            </w:r>
          </w:p>
        </w:tc>
      </w:tr>
      <w:tr w14:paraId="1270EF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832" w:type="dxa"/>
            <w:noWrap w:val="0"/>
            <w:vAlign w:val="center"/>
          </w:tcPr>
          <w:p w14:paraId="60D6BC4E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6"/>
                <w:szCs w:val="21"/>
              </w:rPr>
              <w:t>小学组</w:t>
            </w:r>
          </w:p>
        </w:tc>
        <w:tc>
          <w:tcPr>
            <w:tcW w:w="2586" w:type="dxa"/>
            <w:noWrap w:val="0"/>
            <w:vAlign w:val="center"/>
          </w:tcPr>
          <w:p w14:paraId="5971CE4D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5"/>
                <w:szCs w:val="21"/>
              </w:rPr>
              <w:t>60</w:t>
            </w:r>
            <w:r>
              <w:rPr>
                <w:spacing w:val="-42"/>
                <w:szCs w:val="21"/>
              </w:rPr>
              <w:t xml:space="preserve"> </w:t>
            </w:r>
            <w:r>
              <w:rPr>
                <w:spacing w:val="-5"/>
                <w:szCs w:val="21"/>
              </w:rPr>
              <w:t>分钟</w:t>
            </w:r>
          </w:p>
        </w:tc>
        <w:tc>
          <w:tcPr>
            <w:tcW w:w="2125" w:type="dxa"/>
            <w:noWrap w:val="0"/>
            <w:vAlign w:val="center"/>
          </w:tcPr>
          <w:p w14:paraId="62FE1A97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8"/>
                <w:szCs w:val="21"/>
              </w:rPr>
              <w:t>150</w:t>
            </w:r>
            <w:r>
              <w:rPr>
                <w:spacing w:val="-40"/>
                <w:szCs w:val="21"/>
              </w:rPr>
              <w:t xml:space="preserve"> </w:t>
            </w:r>
            <w:r>
              <w:rPr>
                <w:spacing w:val="-8"/>
                <w:szCs w:val="21"/>
              </w:rPr>
              <w:t>秒/次</w:t>
            </w:r>
          </w:p>
        </w:tc>
        <w:tc>
          <w:tcPr>
            <w:tcW w:w="1804" w:type="dxa"/>
            <w:noWrap w:val="0"/>
            <w:vAlign w:val="center"/>
          </w:tcPr>
          <w:p w14:paraId="6C8FE838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6"/>
                <w:szCs w:val="21"/>
              </w:rPr>
              <w:t>2</w:t>
            </w:r>
            <w:r>
              <w:rPr>
                <w:spacing w:val="-45"/>
                <w:szCs w:val="21"/>
              </w:rPr>
              <w:t xml:space="preserve"> </w:t>
            </w:r>
            <w:r>
              <w:rPr>
                <w:spacing w:val="-6"/>
                <w:szCs w:val="21"/>
              </w:rPr>
              <w:t>次</w:t>
            </w:r>
          </w:p>
        </w:tc>
      </w:tr>
      <w:tr w14:paraId="2E0585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832" w:type="dxa"/>
            <w:noWrap w:val="0"/>
            <w:vAlign w:val="center"/>
          </w:tcPr>
          <w:p w14:paraId="612EFC0F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6"/>
                <w:szCs w:val="21"/>
              </w:rPr>
              <w:t>初中组</w:t>
            </w:r>
          </w:p>
        </w:tc>
        <w:tc>
          <w:tcPr>
            <w:tcW w:w="2586" w:type="dxa"/>
            <w:noWrap w:val="0"/>
            <w:vAlign w:val="center"/>
          </w:tcPr>
          <w:p w14:paraId="73A06D4F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5"/>
                <w:szCs w:val="21"/>
              </w:rPr>
              <w:t>90</w:t>
            </w:r>
            <w:r>
              <w:rPr>
                <w:spacing w:val="-41"/>
                <w:szCs w:val="21"/>
              </w:rPr>
              <w:t xml:space="preserve"> </w:t>
            </w:r>
            <w:r>
              <w:rPr>
                <w:spacing w:val="-5"/>
                <w:szCs w:val="21"/>
              </w:rPr>
              <w:t>分钟</w:t>
            </w:r>
          </w:p>
        </w:tc>
        <w:tc>
          <w:tcPr>
            <w:tcW w:w="2125" w:type="dxa"/>
            <w:noWrap w:val="0"/>
            <w:vAlign w:val="center"/>
          </w:tcPr>
          <w:p w14:paraId="4BB2F76A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8"/>
                <w:szCs w:val="21"/>
              </w:rPr>
              <w:t>180</w:t>
            </w:r>
            <w:r>
              <w:rPr>
                <w:spacing w:val="-40"/>
                <w:szCs w:val="21"/>
              </w:rPr>
              <w:t xml:space="preserve"> </w:t>
            </w:r>
            <w:r>
              <w:rPr>
                <w:spacing w:val="-8"/>
                <w:szCs w:val="21"/>
              </w:rPr>
              <w:t>秒/次</w:t>
            </w:r>
          </w:p>
        </w:tc>
        <w:tc>
          <w:tcPr>
            <w:tcW w:w="1804" w:type="dxa"/>
            <w:noWrap w:val="0"/>
            <w:vAlign w:val="center"/>
          </w:tcPr>
          <w:p w14:paraId="3268A088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6"/>
                <w:szCs w:val="21"/>
              </w:rPr>
              <w:t>2</w:t>
            </w:r>
            <w:r>
              <w:rPr>
                <w:spacing w:val="-45"/>
                <w:szCs w:val="21"/>
              </w:rPr>
              <w:t xml:space="preserve"> </w:t>
            </w:r>
            <w:r>
              <w:rPr>
                <w:spacing w:val="-6"/>
                <w:szCs w:val="21"/>
              </w:rPr>
              <w:t>次</w:t>
            </w:r>
          </w:p>
        </w:tc>
      </w:tr>
      <w:tr w14:paraId="62C1CF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832" w:type="dxa"/>
            <w:noWrap w:val="0"/>
            <w:vAlign w:val="center"/>
          </w:tcPr>
          <w:p w14:paraId="662A2F30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8"/>
                <w:szCs w:val="21"/>
              </w:rPr>
              <w:t>高中组</w:t>
            </w:r>
          </w:p>
        </w:tc>
        <w:tc>
          <w:tcPr>
            <w:tcW w:w="2586" w:type="dxa"/>
            <w:noWrap w:val="0"/>
            <w:vAlign w:val="center"/>
          </w:tcPr>
          <w:p w14:paraId="700A7C5E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5"/>
                <w:szCs w:val="21"/>
              </w:rPr>
              <w:t>90</w:t>
            </w:r>
            <w:r>
              <w:rPr>
                <w:spacing w:val="-41"/>
                <w:szCs w:val="21"/>
              </w:rPr>
              <w:t xml:space="preserve"> </w:t>
            </w:r>
            <w:r>
              <w:rPr>
                <w:spacing w:val="-5"/>
                <w:szCs w:val="21"/>
              </w:rPr>
              <w:t>分钟</w:t>
            </w:r>
          </w:p>
        </w:tc>
        <w:tc>
          <w:tcPr>
            <w:tcW w:w="2125" w:type="dxa"/>
            <w:noWrap w:val="0"/>
            <w:vAlign w:val="center"/>
          </w:tcPr>
          <w:p w14:paraId="5A789428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8"/>
                <w:szCs w:val="21"/>
              </w:rPr>
              <w:t>180</w:t>
            </w:r>
            <w:r>
              <w:rPr>
                <w:spacing w:val="-40"/>
                <w:szCs w:val="21"/>
              </w:rPr>
              <w:t xml:space="preserve"> </w:t>
            </w:r>
            <w:r>
              <w:rPr>
                <w:spacing w:val="-8"/>
                <w:szCs w:val="21"/>
              </w:rPr>
              <w:t>秒/次</w:t>
            </w:r>
          </w:p>
        </w:tc>
        <w:tc>
          <w:tcPr>
            <w:tcW w:w="1804" w:type="dxa"/>
            <w:noWrap w:val="0"/>
            <w:vAlign w:val="center"/>
          </w:tcPr>
          <w:p w14:paraId="1DFDB6DC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6"/>
                <w:szCs w:val="21"/>
              </w:rPr>
              <w:t>2</w:t>
            </w:r>
            <w:r>
              <w:rPr>
                <w:spacing w:val="-45"/>
                <w:szCs w:val="21"/>
              </w:rPr>
              <w:t xml:space="preserve"> </w:t>
            </w:r>
            <w:r>
              <w:rPr>
                <w:spacing w:val="-6"/>
                <w:szCs w:val="21"/>
              </w:rPr>
              <w:t>次</w:t>
            </w:r>
          </w:p>
        </w:tc>
      </w:tr>
      <w:tr w14:paraId="258EA0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  <w:jc w:val="center"/>
        </w:trPr>
        <w:tc>
          <w:tcPr>
            <w:tcW w:w="8347" w:type="dxa"/>
            <w:gridSpan w:val="4"/>
            <w:noWrap w:val="0"/>
            <w:vAlign w:val="center"/>
          </w:tcPr>
          <w:p w14:paraId="1E5164A0">
            <w:pPr>
              <w:adjustRightInd w:val="0"/>
              <w:snapToGrid w:val="0"/>
              <w:spacing w:line="300" w:lineRule="exact"/>
              <w:ind w:firstLine="114" w:firstLineChars="50"/>
              <w:rPr>
                <w:szCs w:val="21"/>
              </w:rPr>
            </w:pPr>
            <w:r>
              <w:rPr>
                <w:spacing w:val="9"/>
                <w:szCs w:val="21"/>
              </w:rPr>
              <w:t>1.</w:t>
            </w:r>
            <w:r>
              <w:rPr>
                <w:rFonts w:hint="eastAsia"/>
                <w:spacing w:val="9"/>
                <w:szCs w:val="21"/>
              </w:rPr>
              <w:t xml:space="preserve"> </w:t>
            </w:r>
            <w:r>
              <w:rPr>
                <w:spacing w:val="9"/>
                <w:szCs w:val="21"/>
              </w:rPr>
              <w:t>现场编程调试时长：各组别所有参赛队伍统一进行编</w:t>
            </w:r>
            <w:r>
              <w:rPr>
                <w:spacing w:val="8"/>
                <w:szCs w:val="21"/>
              </w:rPr>
              <w:t>程与调试的有效时</w:t>
            </w:r>
            <w:r>
              <w:rPr>
                <w:spacing w:val="-20"/>
                <w:szCs w:val="21"/>
              </w:rPr>
              <w:t>间。</w:t>
            </w:r>
          </w:p>
          <w:p w14:paraId="2C6124C2">
            <w:pPr>
              <w:adjustRightInd w:val="0"/>
              <w:snapToGrid w:val="0"/>
              <w:spacing w:line="300" w:lineRule="exact"/>
              <w:ind w:firstLine="103" w:firstLineChars="50"/>
              <w:rPr>
                <w:szCs w:val="21"/>
              </w:rPr>
            </w:pPr>
            <w:r>
              <w:rPr>
                <w:spacing w:val="-2"/>
                <w:szCs w:val="21"/>
              </w:rPr>
              <w:t>2.</w:t>
            </w:r>
            <w:r>
              <w:rPr>
                <w:rFonts w:hint="eastAsia"/>
                <w:spacing w:val="-2"/>
                <w:szCs w:val="21"/>
              </w:rPr>
              <w:t xml:space="preserve"> </w:t>
            </w:r>
            <w:r>
              <w:rPr>
                <w:spacing w:val="-2"/>
                <w:szCs w:val="21"/>
              </w:rPr>
              <w:t>规定任务时长：智能设备完成每次规定任务的有效时间。</w:t>
            </w:r>
          </w:p>
        </w:tc>
      </w:tr>
    </w:tbl>
    <w:p w14:paraId="7AC5B9EF">
      <w:pPr>
        <w:adjustRightInd w:val="0"/>
        <w:snapToGrid w:val="0"/>
        <w:spacing w:line="560" w:lineRule="exact"/>
        <w:ind w:firstLine="641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六</w:t>
      </w:r>
      <w:r>
        <w:rPr>
          <w:rFonts w:ascii="黑体" w:hAnsi="黑体" w:eastAsia="黑体"/>
          <w:color w:val="000000"/>
          <w:sz w:val="32"/>
          <w:szCs w:val="32"/>
        </w:rPr>
        <w:t>、运行与结束</w:t>
      </w:r>
    </w:p>
    <w:p w14:paraId="1EA49FE5">
      <w:pPr>
        <w:adjustRightInd w:val="0"/>
        <w:snapToGrid w:val="0"/>
        <w:spacing w:line="560" w:lineRule="exact"/>
        <w:ind w:firstLine="641"/>
        <w:rPr>
          <w:rFonts w:ascii="楷体_GB2312" w:eastAsia="楷体_GB2312"/>
          <w:b/>
          <w:color w:val="000000"/>
          <w:sz w:val="32"/>
          <w:szCs w:val="32"/>
        </w:rPr>
      </w:pPr>
      <w:r>
        <w:rPr>
          <w:rFonts w:ascii="楷体_GB2312" w:eastAsia="楷体_GB2312"/>
          <w:b/>
          <w:color w:val="000000"/>
          <w:sz w:val="32"/>
          <w:szCs w:val="32"/>
        </w:rPr>
        <w:t>（一）</w:t>
      </w:r>
      <w:r>
        <w:rPr>
          <w:rFonts w:hint="eastAsia" w:ascii="楷体_GB2312" w:eastAsia="楷体_GB2312"/>
          <w:b/>
          <w:color w:val="000000"/>
          <w:sz w:val="32"/>
          <w:szCs w:val="32"/>
        </w:rPr>
        <w:t>智能设备</w:t>
      </w:r>
      <w:r>
        <w:rPr>
          <w:rFonts w:ascii="楷体_GB2312" w:eastAsia="楷体_GB2312"/>
          <w:b/>
          <w:color w:val="000000"/>
          <w:sz w:val="32"/>
          <w:szCs w:val="32"/>
        </w:rPr>
        <w:t>运行</w:t>
      </w:r>
    </w:p>
    <w:p w14:paraId="00629E5B">
      <w:pPr>
        <w:adjustRightInd w:val="0"/>
        <w:snapToGrid w:val="0"/>
        <w:spacing w:line="56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1.</w:t>
      </w:r>
      <w:r>
        <w:rPr>
          <w:rFonts w:hint="eastAsia" w:eastAsia="仿宋_GB2312"/>
          <w:color w:val="000000"/>
          <w:sz w:val="32"/>
          <w:szCs w:val="32"/>
        </w:rPr>
        <w:t xml:space="preserve"> 智能设备</w:t>
      </w:r>
      <w:r>
        <w:rPr>
          <w:rFonts w:eastAsia="仿宋_GB2312"/>
          <w:color w:val="000000"/>
          <w:sz w:val="32"/>
          <w:szCs w:val="32"/>
        </w:rPr>
        <w:t>检录后不得更换，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编程调试后统一放置到裁判指定区域进行封存并贴上标签，不得再次编程调试。</w:t>
      </w:r>
    </w:p>
    <w:p w14:paraId="45E525A1">
      <w:pPr>
        <w:adjustRightInd w:val="0"/>
        <w:snapToGrid w:val="0"/>
        <w:spacing w:line="56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2.</w:t>
      </w:r>
      <w:r>
        <w:rPr>
          <w:rFonts w:hint="eastAsia" w:eastAsia="仿宋_GB2312"/>
          <w:color w:val="000000"/>
          <w:sz w:val="32"/>
          <w:szCs w:val="32"/>
        </w:rPr>
        <w:t xml:space="preserve"> 智能设备</w:t>
      </w:r>
      <w:r>
        <w:rPr>
          <w:rFonts w:eastAsia="仿宋_GB2312"/>
          <w:color w:val="000000"/>
          <w:sz w:val="32"/>
          <w:szCs w:val="32"/>
        </w:rPr>
        <w:t>起点区启动前须静止</w:t>
      </w:r>
      <w:r>
        <w:rPr>
          <w:rFonts w:hint="eastAsia" w:eastAsia="仿宋_GB2312"/>
          <w:color w:val="000000"/>
          <w:sz w:val="32"/>
          <w:szCs w:val="32"/>
        </w:rPr>
        <w:t>，</w:t>
      </w:r>
      <w:r>
        <w:rPr>
          <w:rFonts w:eastAsia="仿宋_GB2312"/>
          <w:color w:val="000000"/>
          <w:sz w:val="32"/>
          <w:szCs w:val="32"/>
        </w:rPr>
        <w:t>仅限采用点击编程界面上的 “开始按键”进行启动，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启动后须自主运行。</w:t>
      </w:r>
    </w:p>
    <w:p w14:paraId="403009EF">
      <w:pPr>
        <w:adjustRightInd w:val="0"/>
        <w:snapToGrid w:val="0"/>
        <w:spacing w:line="56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3.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比赛任务执行过程中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过河须通过桥梁往返。</w:t>
      </w:r>
    </w:p>
    <w:p w14:paraId="23BD9A33">
      <w:pPr>
        <w:adjustRightInd w:val="0"/>
        <w:snapToGrid w:val="0"/>
        <w:spacing w:line="56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4.</w:t>
      </w:r>
      <w:r>
        <w:rPr>
          <w:rFonts w:hint="eastAsia" w:eastAsia="仿宋_GB2312"/>
          <w:color w:val="000000"/>
          <w:sz w:val="32"/>
          <w:szCs w:val="32"/>
        </w:rPr>
        <w:t xml:space="preserve"> 智能设备</w:t>
      </w:r>
      <w:r>
        <w:rPr>
          <w:rFonts w:eastAsia="仿宋_GB2312"/>
          <w:color w:val="000000"/>
          <w:sz w:val="32"/>
          <w:szCs w:val="32"/>
        </w:rPr>
        <w:t>连续完成两次规定任务，第一次比赛结束后有不超过1分钟的准备时间， 然后开始第二次比赛。</w:t>
      </w:r>
    </w:p>
    <w:p w14:paraId="1B7BFFE7">
      <w:pPr>
        <w:adjustRightInd w:val="0"/>
        <w:snapToGrid w:val="0"/>
        <w:spacing w:line="56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5. 比赛任务执行过程中计时无暂停、任务无重试、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无重启。</w:t>
      </w:r>
    </w:p>
    <w:p w14:paraId="6C79F9FF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6. 比赛任务执行过程中参赛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如发生结构脱落，在不影响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正常运行的情况下，参赛选手可请求裁判帮助取回脱落件。</w:t>
      </w:r>
    </w:p>
    <w:p w14:paraId="17CC05AD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7.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比赛任务执行过程中不得更换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，不可以对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软硬件进行变更。</w:t>
      </w:r>
    </w:p>
    <w:p w14:paraId="2B2601EB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8.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裁判现场确定比赛顺序。</w:t>
      </w:r>
    </w:p>
    <w:p w14:paraId="3A9E81FD">
      <w:pPr>
        <w:adjustRightInd w:val="0"/>
        <w:snapToGrid w:val="0"/>
        <w:spacing w:line="560" w:lineRule="exact"/>
        <w:ind w:firstLine="641"/>
        <w:rPr>
          <w:rFonts w:ascii="楷体_GB2312" w:eastAsia="楷体_GB2312"/>
          <w:b/>
          <w:color w:val="000000"/>
          <w:sz w:val="32"/>
          <w:szCs w:val="32"/>
        </w:rPr>
      </w:pPr>
      <w:r>
        <w:rPr>
          <w:rFonts w:ascii="楷体_GB2312" w:eastAsia="楷体_GB2312"/>
          <w:b/>
          <w:color w:val="000000"/>
          <w:sz w:val="32"/>
          <w:szCs w:val="32"/>
        </w:rPr>
        <w:t>（二）比赛结束</w:t>
      </w:r>
    </w:p>
    <w:p w14:paraId="68843AC6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规定任务时长结束。</w:t>
      </w:r>
    </w:p>
    <w:p w14:paraId="5EFCD092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规定任务时长内完成所有任务。</w:t>
      </w:r>
    </w:p>
    <w:p w14:paraId="0D9F09EC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3.</w:t>
      </w:r>
      <w:r>
        <w:rPr>
          <w:rFonts w:hint="eastAsia" w:eastAsia="仿宋_GB2312"/>
          <w:color w:val="000000"/>
          <w:sz w:val="32"/>
          <w:szCs w:val="32"/>
        </w:rPr>
        <w:t xml:space="preserve"> 智能设备</w:t>
      </w:r>
      <w:r>
        <w:rPr>
          <w:rFonts w:eastAsia="仿宋_GB2312"/>
          <w:color w:val="000000"/>
          <w:sz w:val="32"/>
          <w:szCs w:val="32"/>
        </w:rPr>
        <w:t>在行进过程中发生侧翻或仰翻。</w:t>
      </w:r>
    </w:p>
    <w:p w14:paraId="5F589EF6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4.</w:t>
      </w:r>
      <w:r>
        <w:rPr>
          <w:rFonts w:hint="eastAsia" w:eastAsia="仿宋_GB2312"/>
          <w:color w:val="000000"/>
          <w:sz w:val="32"/>
          <w:szCs w:val="32"/>
        </w:rPr>
        <w:t xml:space="preserve"> 智能设备</w:t>
      </w:r>
      <w:r>
        <w:rPr>
          <w:rFonts w:eastAsia="仿宋_GB2312"/>
          <w:color w:val="000000"/>
          <w:sz w:val="32"/>
          <w:szCs w:val="32"/>
        </w:rPr>
        <w:t>整体投影完全脱离竞赛场地区域。</w:t>
      </w:r>
    </w:p>
    <w:p w14:paraId="61898433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5.</w:t>
      </w:r>
      <w:r>
        <w:rPr>
          <w:rFonts w:hint="eastAsia" w:eastAsia="仿宋_GB2312"/>
          <w:color w:val="000000"/>
          <w:sz w:val="32"/>
          <w:szCs w:val="32"/>
        </w:rPr>
        <w:t xml:space="preserve"> 智能设备</w:t>
      </w:r>
      <w:r>
        <w:rPr>
          <w:rFonts w:eastAsia="仿宋_GB2312"/>
          <w:color w:val="000000"/>
          <w:sz w:val="32"/>
          <w:szCs w:val="32"/>
        </w:rPr>
        <w:t>行进过程中，参赛选手触碰到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的任意部位。</w:t>
      </w:r>
    </w:p>
    <w:p w14:paraId="62B15A81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6.</w:t>
      </w:r>
      <w:r>
        <w:rPr>
          <w:rFonts w:hint="eastAsia" w:eastAsia="仿宋_GB2312"/>
          <w:color w:val="000000"/>
          <w:sz w:val="32"/>
          <w:szCs w:val="32"/>
        </w:rPr>
        <w:t xml:space="preserve"> 智能设备</w:t>
      </w:r>
      <w:r>
        <w:rPr>
          <w:rFonts w:eastAsia="仿宋_GB2312"/>
          <w:color w:val="000000"/>
          <w:sz w:val="32"/>
          <w:szCs w:val="32"/>
        </w:rPr>
        <w:t>启动区10秒内无法启动或行进过程中静止且10秒内没有动作的可能性。</w:t>
      </w:r>
    </w:p>
    <w:p w14:paraId="40E1CEB1">
      <w:pPr>
        <w:adjustRightInd w:val="0"/>
        <w:snapToGrid w:val="0"/>
        <w:spacing w:line="560" w:lineRule="exact"/>
        <w:ind w:firstLine="641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七</w:t>
      </w:r>
      <w:r>
        <w:rPr>
          <w:rFonts w:ascii="黑体" w:hAnsi="黑体" w:eastAsia="黑体"/>
          <w:color w:val="000000"/>
          <w:sz w:val="32"/>
          <w:szCs w:val="32"/>
        </w:rPr>
        <w:t>、评比标准</w:t>
      </w:r>
    </w:p>
    <w:p w14:paraId="45AB4DCC">
      <w:pPr>
        <w:adjustRightInd w:val="0"/>
        <w:snapToGrid w:val="0"/>
        <w:spacing w:line="560" w:lineRule="exact"/>
        <w:ind w:firstLine="641"/>
        <w:rPr>
          <w:rFonts w:ascii="楷体_GB2312" w:eastAsia="楷体_GB2312"/>
          <w:b/>
          <w:color w:val="000000"/>
          <w:sz w:val="32"/>
          <w:szCs w:val="32"/>
        </w:rPr>
      </w:pPr>
      <w:r>
        <w:rPr>
          <w:rFonts w:ascii="楷体_GB2312" w:eastAsia="楷体_GB2312"/>
          <w:b/>
          <w:color w:val="000000"/>
          <w:sz w:val="32"/>
          <w:szCs w:val="32"/>
        </w:rPr>
        <w:t>（一）计分说明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7"/>
        <w:gridCol w:w="5756"/>
        <w:gridCol w:w="1572"/>
      </w:tblGrid>
      <w:tr w14:paraId="59DB07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  <w:jc w:val="center"/>
        </w:trPr>
        <w:tc>
          <w:tcPr>
            <w:tcW w:w="1257" w:type="dxa"/>
            <w:noWrap w:val="0"/>
            <w:vAlign w:val="center"/>
          </w:tcPr>
          <w:p w14:paraId="2D1D3878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Ansi="宋体"/>
                <w:b/>
                <w:bCs/>
                <w:spacing w:val="2"/>
                <w:szCs w:val="21"/>
              </w:rPr>
              <w:t>指标</w:t>
            </w:r>
          </w:p>
        </w:tc>
        <w:tc>
          <w:tcPr>
            <w:tcW w:w="5756" w:type="dxa"/>
            <w:noWrap w:val="0"/>
            <w:vAlign w:val="center"/>
          </w:tcPr>
          <w:p w14:paraId="6467F547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Ansi="宋体"/>
                <w:b/>
                <w:bCs/>
                <w:spacing w:val="2"/>
                <w:szCs w:val="21"/>
              </w:rPr>
              <w:t>描述</w:t>
            </w:r>
          </w:p>
        </w:tc>
        <w:tc>
          <w:tcPr>
            <w:tcW w:w="1572" w:type="dxa"/>
            <w:noWrap w:val="0"/>
            <w:vAlign w:val="center"/>
          </w:tcPr>
          <w:p w14:paraId="28550563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Ansi="宋体"/>
                <w:b/>
                <w:bCs/>
                <w:szCs w:val="21"/>
              </w:rPr>
              <w:t>分值</w:t>
            </w:r>
          </w:p>
        </w:tc>
      </w:tr>
      <w:tr w14:paraId="013ED1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noWrap w:val="0"/>
            <w:vAlign w:val="center"/>
          </w:tcPr>
          <w:p w14:paraId="1EF08FFA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Ansi="宋体"/>
                <w:spacing w:val="-5"/>
                <w:szCs w:val="21"/>
              </w:rPr>
              <w:t>车辆启动</w:t>
            </w:r>
          </w:p>
        </w:tc>
        <w:tc>
          <w:tcPr>
            <w:tcW w:w="5756" w:type="dxa"/>
            <w:noWrap w:val="0"/>
            <w:vAlign w:val="center"/>
          </w:tcPr>
          <w:p w14:paraId="4054F0D7">
            <w:pPr>
              <w:adjustRightInd w:val="0"/>
              <w:snapToGrid w:val="0"/>
              <w:spacing w:line="300" w:lineRule="exact"/>
              <w:ind w:left="120"/>
              <w:rPr>
                <w:szCs w:val="21"/>
              </w:rPr>
            </w:pPr>
            <w:r>
              <w:rPr>
                <w:rFonts w:hAnsi="宋体"/>
                <w:szCs w:val="21"/>
              </w:rPr>
              <w:t>救援车辆驶离起点且车身垂直投影完全在起点区外。</w:t>
            </w:r>
          </w:p>
        </w:tc>
        <w:tc>
          <w:tcPr>
            <w:tcW w:w="1572" w:type="dxa"/>
            <w:noWrap w:val="0"/>
            <w:vAlign w:val="center"/>
          </w:tcPr>
          <w:p w14:paraId="740D3DB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8"/>
                <w:szCs w:val="21"/>
              </w:rPr>
              <w:t>5</w:t>
            </w:r>
            <w:r>
              <w:rPr>
                <w:spacing w:val="-42"/>
                <w:szCs w:val="21"/>
              </w:rPr>
              <w:t xml:space="preserve"> </w:t>
            </w:r>
            <w:r>
              <w:rPr>
                <w:rFonts w:hAnsi="宋体"/>
                <w:spacing w:val="-8"/>
                <w:szCs w:val="21"/>
              </w:rPr>
              <w:t>分</w:t>
            </w:r>
            <w:r>
              <w:rPr>
                <w:spacing w:val="-8"/>
                <w:szCs w:val="21"/>
              </w:rPr>
              <w:t>/</w:t>
            </w:r>
            <w:r>
              <w:rPr>
                <w:rFonts w:hAnsi="宋体"/>
                <w:spacing w:val="-8"/>
                <w:szCs w:val="21"/>
              </w:rPr>
              <w:t>辆</w:t>
            </w:r>
          </w:p>
        </w:tc>
      </w:tr>
      <w:tr w14:paraId="3E2EF4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  <w:jc w:val="center"/>
        </w:trPr>
        <w:tc>
          <w:tcPr>
            <w:tcW w:w="1257" w:type="dxa"/>
            <w:noWrap w:val="0"/>
            <w:vAlign w:val="center"/>
          </w:tcPr>
          <w:p w14:paraId="49F1C45D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Ansi="宋体"/>
                <w:spacing w:val="-4"/>
                <w:szCs w:val="21"/>
              </w:rPr>
              <w:t>道路救援</w:t>
            </w:r>
          </w:p>
        </w:tc>
        <w:tc>
          <w:tcPr>
            <w:tcW w:w="5756" w:type="dxa"/>
            <w:noWrap w:val="0"/>
            <w:vAlign w:val="center"/>
          </w:tcPr>
          <w:p w14:paraId="01082717">
            <w:pPr>
              <w:adjustRightInd w:val="0"/>
              <w:snapToGrid w:val="0"/>
              <w:spacing w:line="300" w:lineRule="exact"/>
              <w:ind w:left="96" w:right="32" w:firstLine="23"/>
              <w:rPr>
                <w:szCs w:val="21"/>
              </w:rPr>
            </w:pPr>
            <w:r>
              <w:rPr>
                <w:rFonts w:hAnsi="宋体"/>
                <w:szCs w:val="21"/>
              </w:rPr>
              <w:t>救援车到达道路救援区</w:t>
            </w:r>
            <w:r>
              <w:rPr>
                <w:szCs w:val="21"/>
              </w:rPr>
              <w:t>“</w:t>
            </w:r>
            <w:r>
              <w:rPr>
                <w:rFonts w:hAnsi="宋体"/>
                <w:szCs w:val="21"/>
              </w:rPr>
              <w:t>牵引</w:t>
            </w:r>
            <w:r>
              <w:rPr>
                <w:szCs w:val="21"/>
              </w:rPr>
              <w:t>”</w:t>
            </w:r>
            <w:r>
              <w:rPr>
                <w:rFonts w:hAnsi="宋体"/>
                <w:szCs w:val="21"/>
              </w:rPr>
              <w:t>位置静止，然后，</w:t>
            </w:r>
            <w:r>
              <w:rPr>
                <w:szCs w:val="21"/>
              </w:rPr>
              <w:t>“</w:t>
            </w:r>
            <w:r>
              <w:rPr>
                <w:rFonts w:hAnsi="宋体"/>
                <w:szCs w:val="21"/>
              </w:rPr>
              <w:t>牵引</w:t>
            </w:r>
            <w:r>
              <w:rPr>
                <w:szCs w:val="21"/>
              </w:rPr>
              <w:t>”</w:t>
            </w:r>
            <w:r>
              <w:rPr>
                <w:rFonts w:hAnsi="宋体"/>
                <w:szCs w:val="21"/>
              </w:rPr>
              <w:t>初始位置的被救援车沿虚线运行（两车动态</w:t>
            </w:r>
            <w:r>
              <w:rPr>
                <w:szCs w:val="21"/>
              </w:rPr>
              <w:t xml:space="preserve"> </w:t>
            </w:r>
            <w:r>
              <w:rPr>
                <w:rFonts w:hAnsi="宋体"/>
                <w:szCs w:val="21"/>
              </w:rPr>
              <w:t>间距始终不超过</w:t>
            </w:r>
            <w:r>
              <w:rPr>
                <w:szCs w:val="21"/>
              </w:rPr>
              <w:t xml:space="preserve"> 1 </w:t>
            </w:r>
            <w:r>
              <w:rPr>
                <w:rFonts w:hAnsi="宋体"/>
                <w:szCs w:val="21"/>
              </w:rPr>
              <w:t>个方格）至维修厂静止，且被救援</w:t>
            </w:r>
            <w:r>
              <w:rPr>
                <w:szCs w:val="21"/>
              </w:rPr>
              <w:t xml:space="preserve"> </w:t>
            </w:r>
            <w:r>
              <w:rPr>
                <w:rFonts w:hAnsi="宋体"/>
                <w:szCs w:val="21"/>
              </w:rPr>
              <w:t>车垂直投影完全在维修厂内。</w:t>
            </w:r>
          </w:p>
        </w:tc>
        <w:tc>
          <w:tcPr>
            <w:tcW w:w="1572" w:type="dxa"/>
            <w:noWrap w:val="0"/>
            <w:vAlign w:val="center"/>
          </w:tcPr>
          <w:p w14:paraId="7724E2BE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9"/>
                <w:szCs w:val="21"/>
              </w:rPr>
              <w:t>15</w:t>
            </w:r>
            <w:r>
              <w:rPr>
                <w:spacing w:val="-42"/>
                <w:szCs w:val="21"/>
              </w:rPr>
              <w:t xml:space="preserve"> </w:t>
            </w:r>
            <w:r>
              <w:rPr>
                <w:rFonts w:hAnsi="宋体"/>
                <w:spacing w:val="-9"/>
                <w:szCs w:val="21"/>
              </w:rPr>
              <w:t>分</w:t>
            </w:r>
          </w:p>
        </w:tc>
      </w:tr>
      <w:tr w14:paraId="7CD13E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  <w:jc w:val="center"/>
        </w:trPr>
        <w:tc>
          <w:tcPr>
            <w:tcW w:w="1257" w:type="dxa"/>
            <w:noWrap w:val="0"/>
            <w:vAlign w:val="center"/>
          </w:tcPr>
          <w:p w14:paraId="1F180DD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Ansi="宋体"/>
                <w:spacing w:val="-5"/>
                <w:szCs w:val="21"/>
              </w:rPr>
              <w:t>火灾救援</w:t>
            </w:r>
          </w:p>
        </w:tc>
        <w:tc>
          <w:tcPr>
            <w:tcW w:w="5756" w:type="dxa"/>
            <w:noWrap w:val="0"/>
            <w:vAlign w:val="center"/>
          </w:tcPr>
          <w:p w14:paraId="28CCAAA2">
            <w:pPr>
              <w:adjustRightInd w:val="0"/>
              <w:snapToGrid w:val="0"/>
              <w:spacing w:line="300" w:lineRule="exact"/>
              <w:ind w:left="127" w:right="152"/>
              <w:rPr>
                <w:szCs w:val="21"/>
              </w:rPr>
            </w:pPr>
            <w:r>
              <w:rPr>
                <w:rFonts w:hAnsi="宋体"/>
                <w:szCs w:val="21"/>
              </w:rPr>
              <w:t>车辆到达火灾区由无火口驶入，完成避障标识搜寻，发现标识贴并静止其上，蜂鸣不少于</w:t>
            </w:r>
            <w:r>
              <w:rPr>
                <w:szCs w:val="21"/>
              </w:rPr>
              <w:t xml:space="preserve">2 </w:t>
            </w:r>
            <w:r>
              <w:rPr>
                <w:rFonts w:hAnsi="宋体"/>
                <w:szCs w:val="21"/>
              </w:rPr>
              <w:t>次。</w:t>
            </w:r>
          </w:p>
        </w:tc>
        <w:tc>
          <w:tcPr>
            <w:tcW w:w="1572" w:type="dxa"/>
            <w:noWrap w:val="0"/>
            <w:vAlign w:val="center"/>
          </w:tcPr>
          <w:p w14:paraId="604EC103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8"/>
                <w:szCs w:val="21"/>
              </w:rPr>
              <w:t>5</w:t>
            </w:r>
            <w:r>
              <w:rPr>
                <w:spacing w:val="-42"/>
                <w:szCs w:val="21"/>
              </w:rPr>
              <w:t xml:space="preserve"> </w:t>
            </w:r>
            <w:r>
              <w:rPr>
                <w:rFonts w:hAnsi="宋体"/>
                <w:spacing w:val="-8"/>
                <w:szCs w:val="21"/>
              </w:rPr>
              <w:t>分</w:t>
            </w:r>
            <w:r>
              <w:rPr>
                <w:spacing w:val="-8"/>
                <w:szCs w:val="21"/>
              </w:rPr>
              <w:t>/</w:t>
            </w:r>
            <w:r>
              <w:rPr>
                <w:rFonts w:hAnsi="宋体"/>
                <w:spacing w:val="-8"/>
                <w:szCs w:val="21"/>
              </w:rPr>
              <w:t>个</w:t>
            </w:r>
          </w:p>
        </w:tc>
      </w:tr>
      <w:tr w14:paraId="5AC8AC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  <w:jc w:val="center"/>
        </w:trPr>
        <w:tc>
          <w:tcPr>
            <w:tcW w:w="1257" w:type="dxa"/>
            <w:noWrap w:val="0"/>
            <w:vAlign w:val="center"/>
          </w:tcPr>
          <w:p w14:paraId="526469AF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Ansi="宋体"/>
                <w:spacing w:val="-4"/>
                <w:szCs w:val="21"/>
              </w:rPr>
              <w:t>物资分配</w:t>
            </w:r>
          </w:p>
        </w:tc>
        <w:tc>
          <w:tcPr>
            <w:tcW w:w="5756" w:type="dxa"/>
            <w:noWrap w:val="0"/>
            <w:vAlign w:val="center"/>
          </w:tcPr>
          <w:p w14:paraId="1D92F738">
            <w:pPr>
              <w:adjustRightInd w:val="0"/>
              <w:snapToGrid w:val="0"/>
              <w:spacing w:line="300" w:lineRule="exact"/>
              <w:ind w:left="125" w:right="102" w:firstLine="1"/>
              <w:rPr>
                <w:szCs w:val="21"/>
              </w:rPr>
            </w:pPr>
            <w:r>
              <w:rPr>
                <w:rFonts w:hAnsi="宋体"/>
                <w:szCs w:val="21"/>
              </w:rPr>
              <w:t>车辆到达物资区，将物资模型运送至救援营地，且物资模型垂直投影完全在救援营地绿色区域内视为单次</w:t>
            </w:r>
            <w:r>
              <w:rPr>
                <w:szCs w:val="21"/>
              </w:rPr>
              <w:t xml:space="preserve"> </w:t>
            </w:r>
            <w:r>
              <w:rPr>
                <w:rFonts w:hAnsi="宋体"/>
                <w:szCs w:val="21"/>
              </w:rPr>
              <w:t>成功。</w:t>
            </w:r>
          </w:p>
        </w:tc>
        <w:tc>
          <w:tcPr>
            <w:tcW w:w="1572" w:type="dxa"/>
            <w:noWrap w:val="0"/>
            <w:vAlign w:val="center"/>
          </w:tcPr>
          <w:p w14:paraId="1467D0EE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8"/>
                <w:szCs w:val="21"/>
              </w:rPr>
              <w:t>5</w:t>
            </w:r>
            <w:r>
              <w:rPr>
                <w:spacing w:val="-42"/>
                <w:szCs w:val="21"/>
              </w:rPr>
              <w:t xml:space="preserve"> </w:t>
            </w:r>
            <w:r>
              <w:rPr>
                <w:rFonts w:hAnsi="宋体"/>
                <w:spacing w:val="-8"/>
                <w:szCs w:val="21"/>
              </w:rPr>
              <w:t>分</w:t>
            </w:r>
            <w:r>
              <w:rPr>
                <w:spacing w:val="-8"/>
                <w:szCs w:val="21"/>
              </w:rPr>
              <w:t>/</w:t>
            </w:r>
            <w:r>
              <w:rPr>
                <w:rFonts w:hAnsi="宋体"/>
                <w:spacing w:val="-8"/>
                <w:szCs w:val="21"/>
              </w:rPr>
              <w:t>个</w:t>
            </w:r>
          </w:p>
        </w:tc>
      </w:tr>
      <w:tr w14:paraId="7D99AE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  <w:jc w:val="center"/>
        </w:trPr>
        <w:tc>
          <w:tcPr>
            <w:tcW w:w="1257" w:type="dxa"/>
            <w:noWrap w:val="0"/>
            <w:vAlign w:val="center"/>
          </w:tcPr>
          <w:p w14:paraId="031A90EE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Ansi="宋体"/>
                <w:spacing w:val="-3"/>
                <w:szCs w:val="21"/>
              </w:rPr>
              <w:t>开闸泄洪</w:t>
            </w:r>
          </w:p>
        </w:tc>
        <w:tc>
          <w:tcPr>
            <w:tcW w:w="5756" w:type="dxa"/>
            <w:noWrap w:val="0"/>
            <w:vAlign w:val="center"/>
          </w:tcPr>
          <w:p w14:paraId="3673D0DA">
            <w:pPr>
              <w:adjustRightInd w:val="0"/>
              <w:snapToGrid w:val="0"/>
              <w:spacing w:line="300" w:lineRule="exact"/>
              <w:ind w:left="121" w:right="102"/>
              <w:rPr>
                <w:szCs w:val="21"/>
              </w:rPr>
            </w:pPr>
            <w:r>
              <w:rPr>
                <w:rFonts w:hAnsi="宋体"/>
                <w:szCs w:val="21"/>
              </w:rPr>
              <w:t>辆车辆到达泄洪区，分别静止在红色箭头位置，同时按箭头方向推动闭合的闸门使其打开。</w:t>
            </w:r>
          </w:p>
        </w:tc>
        <w:tc>
          <w:tcPr>
            <w:tcW w:w="1572" w:type="dxa"/>
            <w:noWrap w:val="0"/>
            <w:vAlign w:val="center"/>
          </w:tcPr>
          <w:p w14:paraId="7DB22405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9"/>
                <w:szCs w:val="21"/>
              </w:rPr>
              <w:t>15</w:t>
            </w:r>
            <w:r>
              <w:rPr>
                <w:spacing w:val="-42"/>
                <w:szCs w:val="21"/>
              </w:rPr>
              <w:t xml:space="preserve"> </w:t>
            </w:r>
            <w:r>
              <w:rPr>
                <w:rFonts w:hAnsi="宋体"/>
                <w:spacing w:val="-9"/>
                <w:szCs w:val="21"/>
              </w:rPr>
              <w:t>分</w:t>
            </w:r>
          </w:p>
        </w:tc>
      </w:tr>
      <w:tr w14:paraId="60FBC4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restart"/>
            <w:noWrap w:val="0"/>
            <w:vAlign w:val="center"/>
          </w:tcPr>
          <w:p w14:paraId="5C82305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Ansi="宋体"/>
                <w:spacing w:val="-6"/>
                <w:szCs w:val="21"/>
              </w:rPr>
              <w:t>到达终点</w:t>
            </w:r>
          </w:p>
        </w:tc>
        <w:tc>
          <w:tcPr>
            <w:tcW w:w="5756" w:type="dxa"/>
            <w:noWrap w:val="0"/>
            <w:vAlign w:val="center"/>
          </w:tcPr>
          <w:p w14:paraId="539B0E9C">
            <w:pPr>
              <w:adjustRightInd w:val="0"/>
              <w:snapToGrid w:val="0"/>
              <w:spacing w:line="300" w:lineRule="exact"/>
              <w:ind w:left="149" w:right="102" w:hanging="22"/>
              <w:rPr>
                <w:szCs w:val="21"/>
              </w:rPr>
            </w:pPr>
            <w:r>
              <w:rPr>
                <w:rFonts w:hAnsi="宋体"/>
                <w:szCs w:val="21"/>
              </w:rPr>
              <w:t>全部车辆均到达终点静止，垂直投影完全在区域内且同步完成规定顺序动作。</w:t>
            </w:r>
          </w:p>
        </w:tc>
        <w:tc>
          <w:tcPr>
            <w:tcW w:w="1572" w:type="dxa"/>
            <w:noWrap w:val="0"/>
            <w:vAlign w:val="center"/>
          </w:tcPr>
          <w:p w14:paraId="7C52045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4"/>
                <w:szCs w:val="21"/>
              </w:rPr>
              <w:t>20</w:t>
            </w:r>
            <w:r>
              <w:rPr>
                <w:spacing w:val="-42"/>
                <w:szCs w:val="21"/>
              </w:rPr>
              <w:t xml:space="preserve"> </w:t>
            </w:r>
            <w:r>
              <w:rPr>
                <w:rFonts w:hAnsi="宋体"/>
                <w:spacing w:val="-4"/>
                <w:szCs w:val="21"/>
              </w:rPr>
              <w:t>分</w:t>
            </w:r>
          </w:p>
        </w:tc>
      </w:tr>
      <w:tr w14:paraId="09DCF6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continue"/>
            <w:noWrap w:val="0"/>
            <w:vAlign w:val="center"/>
          </w:tcPr>
          <w:p w14:paraId="25565D30">
            <w:pPr>
              <w:pStyle w:val="7"/>
              <w:adjustRightInd w:val="0"/>
              <w:snapToGrid w:val="0"/>
              <w:spacing w:line="30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5756" w:type="dxa"/>
            <w:noWrap w:val="0"/>
            <w:vAlign w:val="center"/>
          </w:tcPr>
          <w:p w14:paraId="119EE836">
            <w:pPr>
              <w:adjustRightInd w:val="0"/>
              <w:snapToGrid w:val="0"/>
              <w:spacing w:line="300" w:lineRule="exact"/>
              <w:ind w:left="127"/>
              <w:rPr>
                <w:szCs w:val="21"/>
              </w:rPr>
            </w:pPr>
            <w:r>
              <w:rPr>
                <w:rFonts w:hAnsi="宋体"/>
                <w:szCs w:val="21"/>
              </w:rPr>
              <w:t>全部车辆均到达终点静止，垂直投影完全在区域内。</w:t>
            </w:r>
          </w:p>
        </w:tc>
        <w:tc>
          <w:tcPr>
            <w:tcW w:w="1572" w:type="dxa"/>
            <w:noWrap w:val="0"/>
            <w:vAlign w:val="center"/>
          </w:tcPr>
          <w:p w14:paraId="701C21A8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7"/>
                <w:szCs w:val="21"/>
              </w:rPr>
              <w:t>5</w:t>
            </w:r>
            <w:r>
              <w:rPr>
                <w:spacing w:val="-42"/>
                <w:szCs w:val="21"/>
              </w:rPr>
              <w:t xml:space="preserve"> </w:t>
            </w:r>
            <w:r>
              <w:rPr>
                <w:rFonts w:hAnsi="宋体"/>
                <w:spacing w:val="-7"/>
                <w:szCs w:val="21"/>
              </w:rPr>
              <w:t>分</w:t>
            </w:r>
          </w:p>
        </w:tc>
      </w:tr>
      <w:tr w14:paraId="41ED01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restart"/>
            <w:noWrap w:val="0"/>
            <w:vAlign w:val="center"/>
          </w:tcPr>
          <w:p w14:paraId="106526C6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Ansi="宋体"/>
                <w:spacing w:val="-5"/>
                <w:szCs w:val="21"/>
              </w:rPr>
              <w:t>违规</w:t>
            </w:r>
          </w:p>
        </w:tc>
        <w:tc>
          <w:tcPr>
            <w:tcW w:w="5756" w:type="dxa"/>
            <w:noWrap w:val="0"/>
            <w:vAlign w:val="center"/>
          </w:tcPr>
          <w:p w14:paraId="077EAADE">
            <w:pPr>
              <w:adjustRightInd w:val="0"/>
              <w:snapToGrid w:val="0"/>
              <w:spacing w:line="300" w:lineRule="exact"/>
              <w:ind w:left="149"/>
              <w:rPr>
                <w:szCs w:val="21"/>
              </w:rPr>
            </w:pPr>
            <w:r>
              <w:rPr>
                <w:rFonts w:hAnsi="宋体"/>
                <w:szCs w:val="21"/>
              </w:rPr>
              <w:t>比赛任务执行过程中智能设备过河未通过桥梁。</w:t>
            </w:r>
          </w:p>
        </w:tc>
        <w:tc>
          <w:tcPr>
            <w:tcW w:w="1572" w:type="dxa"/>
            <w:noWrap w:val="0"/>
            <w:vAlign w:val="center"/>
          </w:tcPr>
          <w:p w14:paraId="3A20ADF5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5"/>
                <w:szCs w:val="21"/>
              </w:rPr>
              <w:t>-10</w:t>
            </w:r>
            <w:r>
              <w:rPr>
                <w:spacing w:val="-38"/>
                <w:szCs w:val="21"/>
              </w:rPr>
              <w:t xml:space="preserve"> </w:t>
            </w:r>
            <w:r>
              <w:rPr>
                <w:rFonts w:hAnsi="宋体"/>
                <w:spacing w:val="-5"/>
                <w:szCs w:val="21"/>
              </w:rPr>
              <w:t>分</w:t>
            </w:r>
            <w:r>
              <w:rPr>
                <w:spacing w:val="-5"/>
                <w:szCs w:val="21"/>
              </w:rPr>
              <w:t>/</w:t>
            </w:r>
            <w:r>
              <w:rPr>
                <w:rFonts w:hAnsi="宋体"/>
                <w:spacing w:val="-5"/>
                <w:szCs w:val="21"/>
              </w:rPr>
              <w:t>次</w:t>
            </w:r>
          </w:p>
        </w:tc>
      </w:tr>
      <w:tr w14:paraId="4A251A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continue"/>
            <w:noWrap w:val="0"/>
            <w:vAlign w:val="center"/>
          </w:tcPr>
          <w:p w14:paraId="37331419">
            <w:pPr>
              <w:pStyle w:val="7"/>
              <w:adjustRightInd w:val="0"/>
              <w:snapToGrid w:val="0"/>
              <w:spacing w:line="30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5756" w:type="dxa"/>
            <w:noWrap w:val="0"/>
            <w:vAlign w:val="center"/>
          </w:tcPr>
          <w:p w14:paraId="763E114E">
            <w:pPr>
              <w:adjustRightInd w:val="0"/>
              <w:snapToGrid w:val="0"/>
              <w:spacing w:line="300" w:lineRule="exact"/>
              <w:ind w:left="129"/>
              <w:rPr>
                <w:szCs w:val="21"/>
              </w:rPr>
            </w:pPr>
            <w:r>
              <w:rPr>
                <w:rFonts w:hAnsi="宋体"/>
                <w:szCs w:val="21"/>
              </w:rPr>
              <w:t>火灾救援后未通过无火口驶出。</w:t>
            </w:r>
          </w:p>
        </w:tc>
        <w:tc>
          <w:tcPr>
            <w:tcW w:w="1572" w:type="dxa"/>
            <w:noWrap w:val="0"/>
            <w:vAlign w:val="center"/>
          </w:tcPr>
          <w:p w14:paraId="290DFC2A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pacing w:val="-5"/>
                <w:szCs w:val="21"/>
              </w:rPr>
              <w:t>-10</w:t>
            </w:r>
            <w:r>
              <w:rPr>
                <w:spacing w:val="-38"/>
                <w:szCs w:val="21"/>
              </w:rPr>
              <w:t xml:space="preserve"> </w:t>
            </w:r>
            <w:r>
              <w:rPr>
                <w:rFonts w:hAnsi="宋体"/>
                <w:spacing w:val="-5"/>
                <w:szCs w:val="21"/>
              </w:rPr>
              <w:t>分</w:t>
            </w:r>
            <w:r>
              <w:rPr>
                <w:spacing w:val="-5"/>
                <w:szCs w:val="21"/>
              </w:rPr>
              <w:t>/</w:t>
            </w:r>
            <w:r>
              <w:rPr>
                <w:rFonts w:hAnsi="宋体"/>
                <w:spacing w:val="-5"/>
                <w:szCs w:val="21"/>
              </w:rPr>
              <w:t>辆</w:t>
            </w:r>
          </w:p>
        </w:tc>
      </w:tr>
      <w:tr w14:paraId="4D03EC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noWrap w:val="0"/>
            <w:vAlign w:val="center"/>
          </w:tcPr>
          <w:p w14:paraId="1B709F12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Ansi="宋体"/>
                <w:spacing w:val="-7"/>
                <w:szCs w:val="21"/>
              </w:rPr>
              <w:t>时间奖励</w:t>
            </w:r>
          </w:p>
        </w:tc>
        <w:tc>
          <w:tcPr>
            <w:tcW w:w="5756" w:type="dxa"/>
            <w:noWrap w:val="0"/>
            <w:vAlign w:val="center"/>
          </w:tcPr>
          <w:p w14:paraId="7B34189E">
            <w:pPr>
              <w:adjustRightInd w:val="0"/>
              <w:snapToGrid w:val="0"/>
              <w:spacing w:line="300" w:lineRule="exact"/>
              <w:ind w:left="125"/>
              <w:rPr>
                <w:szCs w:val="21"/>
              </w:rPr>
            </w:pPr>
            <w:r>
              <w:rPr>
                <w:rFonts w:hAnsi="宋体"/>
                <w:szCs w:val="21"/>
              </w:rPr>
              <w:t>成功完成全部规定任务且用时少于规定时长。</w:t>
            </w:r>
          </w:p>
        </w:tc>
        <w:tc>
          <w:tcPr>
            <w:tcW w:w="1572" w:type="dxa"/>
            <w:noWrap w:val="0"/>
            <w:vAlign w:val="center"/>
          </w:tcPr>
          <w:p w14:paraId="115BA92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Ansi="宋体"/>
                <w:spacing w:val="-13"/>
                <w:szCs w:val="21"/>
              </w:rPr>
              <w:t>每提前</w:t>
            </w:r>
            <w:r>
              <w:rPr>
                <w:spacing w:val="-13"/>
                <w:szCs w:val="21"/>
              </w:rPr>
              <w:t>1</w:t>
            </w:r>
            <w:r>
              <w:rPr>
                <w:rFonts w:hAnsi="宋体"/>
                <w:spacing w:val="-5"/>
                <w:szCs w:val="21"/>
              </w:rPr>
              <w:t>秒</w:t>
            </w:r>
            <w:r>
              <w:rPr>
                <w:spacing w:val="-5"/>
                <w:szCs w:val="21"/>
              </w:rPr>
              <w:t>+1</w:t>
            </w:r>
            <w:r>
              <w:rPr>
                <w:spacing w:val="-41"/>
                <w:szCs w:val="21"/>
              </w:rPr>
              <w:t xml:space="preserve"> </w:t>
            </w:r>
            <w:r>
              <w:rPr>
                <w:rFonts w:hAnsi="宋体"/>
                <w:spacing w:val="-5"/>
                <w:szCs w:val="21"/>
              </w:rPr>
              <w:t>分</w:t>
            </w:r>
          </w:p>
        </w:tc>
      </w:tr>
    </w:tbl>
    <w:p w14:paraId="0316A4B3">
      <w:pPr>
        <w:adjustRightInd w:val="0"/>
        <w:snapToGrid w:val="0"/>
        <w:spacing w:line="560" w:lineRule="exact"/>
        <w:ind w:firstLine="641"/>
        <w:rPr>
          <w:rFonts w:ascii="楷体_GB2312" w:eastAsia="楷体_GB2312"/>
          <w:b/>
          <w:color w:val="000000"/>
          <w:sz w:val="32"/>
          <w:szCs w:val="32"/>
        </w:rPr>
      </w:pPr>
      <w:r>
        <w:rPr>
          <w:rFonts w:ascii="楷体_GB2312" w:eastAsia="楷体_GB2312"/>
          <w:b/>
          <w:color w:val="000000"/>
          <w:sz w:val="32"/>
          <w:szCs w:val="32"/>
        </w:rPr>
        <w:t>（二）成绩计算</w:t>
      </w:r>
    </w:p>
    <w:p w14:paraId="2C1E99D8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规定任务时长内只完成部分任务，按实际完成的任务计算得分。</w:t>
      </w:r>
    </w:p>
    <w:p w14:paraId="3EC4C0BC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取两次比赛得分高的一次计为成绩，成绩高者排名靠前， 若成绩相同，完成任务时长少者排名靠前。</w:t>
      </w:r>
    </w:p>
    <w:p w14:paraId="6EF76F53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3.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若分数、完成任务时长均相同，则判定为并列名次。</w:t>
      </w:r>
    </w:p>
    <w:p w14:paraId="503A4E80">
      <w:pPr>
        <w:adjustRightInd w:val="0"/>
        <w:snapToGrid w:val="0"/>
        <w:spacing w:line="560" w:lineRule="exact"/>
        <w:ind w:firstLine="641"/>
        <w:rPr>
          <w:rFonts w:ascii="楷体_GB2312" w:eastAsia="楷体_GB2312"/>
          <w:b/>
          <w:color w:val="000000"/>
          <w:sz w:val="32"/>
          <w:szCs w:val="32"/>
        </w:rPr>
      </w:pPr>
      <w:r>
        <w:rPr>
          <w:rFonts w:ascii="楷体_GB2312" w:eastAsia="楷体_GB2312"/>
          <w:b/>
          <w:color w:val="000000"/>
          <w:sz w:val="32"/>
          <w:szCs w:val="32"/>
        </w:rPr>
        <w:t>（三）不予评奖</w:t>
      </w:r>
    </w:p>
    <w:p w14:paraId="5ED1FCDD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取消比赛资格：参赛选手重复或虚假报名、找他人替赛或替他人比赛、迟到15分钟以上、未全部到场比赛。</w:t>
      </w:r>
    </w:p>
    <w:p w14:paraId="1F186F48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 xml:space="preserve">参赛选手比赛成绩为零分。 </w:t>
      </w:r>
    </w:p>
    <w:p w14:paraId="2BABF402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3.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参赛选手被投诉且成立。</w:t>
      </w:r>
    </w:p>
    <w:p w14:paraId="3845CCF1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4.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参赛选手不听从裁判（评委）依据竞赛规则所作出的正确指示。</w:t>
      </w:r>
    </w:p>
    <w:p w14:paraId="17ACD0EE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5.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参赛选手比赛过程中，与其他人员沟通须本人独立完成的比赛内容。</w:t>
      </w:r>
    </w:p>
    <w:p w14:paraId="745BEA28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6.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参赛选手蓄意损坏比赛场地、道具及其他参赛选手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 xml:space="preserve">。 </w:t>
      </w:r>
    </w:p>
    <w:p w14:paraId="6F1FC15D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7.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参赛选手借给或借用其他队伍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比赛。</w:t>
      </w:r>
    </w:p>
    <w:p w14:paraId="6B922A8E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8.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参赛选手未经裁判允许私自解封编程调试后的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 xml:space="preserve">。 </w:t>
      </w:r>
    </w:p>
    <w:p w14:paraId="746EF313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9.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参赛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不符合第五项“竞赛器材”要求。</w:t>
      </w:r>
    </w:p>
    <w:p w14:paraId="1BE75960">
      <w:pPr>
        <w:adjustRightInd w:val="0"/>
        <w:snapToGrid w:val="0"/>
        <w:spacing w:line="570" w:lineRule="exact"/>
        <w:ind w:firstLine="641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10.</w:t>
      </w:r>
      <w:r>
        <w:rPr>
          <w:rFonts w:hint="eastAsia" w:eastAsia="仿宋_GB2312"/>
          <w:color w:val="000000"/>
          <w:sz w:val="32"/>
          <w:szCs w:val="32"/>
        </w:rPr>
        <w:t xml:space="preserve"> </w:t>
      </w:r>
      <w:r>
        <w:rPr>
          <w:rFonts w:eastAsia="仿宋_GB2312"/>
          <w:color w:val="000000"/>
          <w:sz w:val="32"/>
          <w:szCs w:val="32"/>
        </w:rPr>
        <w:t>参赛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启动后人为遥控</w:t>
      </w:r>
      <w:r>
        <w:rPr>
          <w:rFonts w:hint="eastAsia" w:eastAsia="仿宋_GB2312"/>
          <w:color w:val="000000"/>
          <w:sz w:val="32"/>
          <w:szCs w:val="32"/>
        </w:rPr>
        <w:t>智能设备</w:t>
      </w:r>
      <w:r>
        <w:rPr>
          <w:rFonts w:eastAsia="仿宋_GB2312"/>
          <w:color w:val="000000"/>
          <w:sz w:val="32"/>
          <w:szCs w:val="32"/>
        </w:rPr>
        <w:t>。</w:t>
      </w:r>
    </w:p>
    <w:p w14:paraId="4B41AE51">
      <w:pPr>
        <w:adjustRightInd w:val="0"/>
        <w:snapToGrid w:val="0"/>
        <w:spacing w:line="560" w:lineRule="exact"/>
        <w:ind w:firstLine="641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八、赛后推优</w:t>
      </w:r>
    </w:p>
    <w:p w14:paraId="62984F1D">
      <w:pPr>
        <w:adjustRightInd w:val="0"/>
        <w:snapToGrid w:val="0"/>
        <w:spacing w:line="570" w:lineRule="exact"/>
        <w:ind w:firstLine="641"/>
      </w:pPr>
      <w:r>
        <w:rPr>
          <w:rFonts w:hint="eastAsia" w:eastAsia="仿宋_GB2312"/>
          <w:color w:val="000000"/>
          <w:sz w:val="32"/>
          <w:szCs w:val="32"/>
        </w:rPr>
        <w:t>市赛选拔优秀选手推荐参加教育部办公厅关于公布的2022—2025学年面向中小学生的全国性竞赛活动第2项，“全国中小学信息技术创新与实践大赛”相关赛项。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531" w:bottom="1985" w:left="1531" w:header="709" w:footer="1361" w:gutter="0"/>
      <w:lnNumType w:countBy="0" w:restart="continuous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C6BA41">
    <w:pPr>
      <w:pStyle w:val="3"/>
      <w:ind w:left="227" w:right="227"/>
      <w:jc w:val="right"/>
      <w:rPr>
        <w:rFonts w:hint="eastAsia"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9</w:t>
    </w:r>
    <w:r>
      <w:rPr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0DF161">
    <w:pPr>
      <w:pStyle w:val="3"/>
      <w:ind w:left="227" w:right="227"/>
      <w:rPr>
        <w:rFonts w:hint="eastAsia"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10</w:t>
    </w:r>
    <w:r>
      <w:rPr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FD4961"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4C225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65724B"/>
    <w:multiLevelType w:val="multilevel"/>
    <w:tmpl w:val="E065724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RmZDA5MWYzMzY3MTRjNWIwMzU1ODRkYzJhZWYyNGYifQ=="/>
  </w:docVars>
  <w:rsids>
    <w:rsidRoot w:val="2D187AE0"/>
    <w:rsid w:val="2D18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napToGrid w:val="0"/>
      <w:jc w:val="center"/>
    </w:pPr>
    <w:rPr>
      <w:rFonts w:ascii="方正小标宋简体" w:eastAsia="方正小标宋简体"/>
      <w:sz w:val="44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Table Text"/>
    <w:basedOn w:val="1"/>
    <w:semiHidden/>
    <w:qFormat/>
    <w:uiPriority w:val="0"/>
    <w:rPr>
      <w:rFonts w:ascii="Arial" w:hAnsi="Arial" w:eastAsia="Arial" w:cs="Arial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2024-10-21T08:13:00Z</dcterms:created>
  <dc:creator>Lu.</dc:creator>
  <cp:lastModifiedBy>Lu.</cp:lastModifiedBy>
  <dcterms:modified xsi:type="dcterms:W3CDTF">2024-10-21T08:15:45Z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269E01424688460E93CC49CBFDD0AD75_11</vt:lpwstr>
  </property>
</Properties>
</file>